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Учебна</w:t>
      </w:r>
      <w:r w:rsidR="00746092">
        <w:rPr>
          <w:sz w:val="24"/>
          <w:szCs w:val="24"/>
        </w:rPr>
        <w:t xml:space="preserve">я практика студентов филиала </w:t>
      </w:r>
      <w:proofErr w:type="spellStart"/>
      <w:r w:rsidR="00746092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>ГУПС</w:t>
      </w:r>
      <w:proofErr w:type="spellEnd"/>
      <w:r w:rsidR="00FC3013" w:rsidRPr="00B759E8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</w:t>
      </w:r>
      <w:bookmarkStart w:id="0" w:name="_GoBack"/>
      <w:r w:rsidR="006E11CC" w:rsidRPr="00B759E8">
        <w:rPr>
          <w:sz w:val="24"/>
          <w:szCs w:val="24"/>
        </w:rPr>
        <w:t>сам</w:t>
      </w:r>
      <w:bookmarkEnd w:id="0"/>
      <w:r w:rsidR="006E11CC" w:rsidRPr="00B759E8">
        <w:rPr>
          <w:sz w:val="24"/>
          <w:szCs w:val="24"/>
        </w:rPr>
        <w:t xml:space="preserve">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19" w:rsidRDefault="00B94119" w:rsidP="007076C0">
      <w:r>
        <w:separator/>
      </w:r>
    </w:p>
  </w:endnote>
  <w:endnote w:type="continuationSeparator" w:id="0">
    <w:p w:rsidR="00B94119" w:rsidRDefault="00B94119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6092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46092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6092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46092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19" w:rsidRDefault="00B94119" w:rsidP="007076C0">
      <w:r>
        <w:separator/>
      </w:r>
    </w:p>
  </w:footnote>
  <w:footnote w:type="continuationSeparator" w:id="0">
    <w:p w:rsidR="00B94119" w:rsidRDefault="00B94119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323490"/>
    <w:rsid w:val="00337447"/>
    <w:rsid w:val="003A7E21"/>
    <w:rsid w:val="003B377B"/>
    <w:rsid w:val="003B3E95"/>
    <w:rsid w:val="00401F8C"/>
    <w:rsid w:val="004125EA"/>
    <w:rsid w:val="00461C88"/>
    <w:rsid w:val="004D2E1F"/>
    <w:rsid w:val="005717DB"/>
    <w:rsid w:val="005B4514"/>
    <w:rsid w:val="005F76EC"/>
    <w:rsid w:val="00616F9D"/>
    <w:rsid w:val="006A4EA9"/>
    <w:rsid w:val="006E11CC"/>
    <w:rsid w:val="007076C0"/>
    <w:rsid w:val="00746092"/>
    <w:rsid w:val="007929D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94119"/>
    <w:rsid w:val="00BC45D3"/>
    <w:rsid w:val="00C112BF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2907B-BE4A-409E-8C8F-A5A5D5DE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16</cp:revision>
  <cp:lastPrinted>2023-04-24T05:25:00Z</cp:lastPrinted>
  <dcterms:created xsi:type="dcterms:W3CDTF">2023-04-24T04:44:00Z</dcterms:created>
  <dcterms:modified xsi:type="dcterms:W3CDTF">2024-11-28T10:44:00Z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