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Pr="00BD1417">
        <w:rPr>
          <w:rStyle w:val="2"/>
          <w:color w:val="FF0000"/>
        </w:rPr>
        <w:t>9.3.</w:t>
      </w:r>
      <w:r w:rsidR="003B039B" w:rsidRPr="00BD1417">
        <w:rPr>
          <w:rStyle w:val="2"/>
          <w:color w:val="FF0000"/>
        </w:rPr>
        <w:t>26</w:t>
      </w:r>
    </w:p>
    <w:p w:rsidR="0023778E" w:rsidRPr="003E229C" w:rsidRDefault="00A44C71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  <w:rFonts w:cs="Arial Unicode MS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BD1417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496B94" w:rsidRPr="003E229C">
        <w:rPr>
          <w:rStyle w:val="10"/>
          <w:b/>
          <w:bCs/>
          <w:color w:val="000000"/>
        </w:rPr>
        <w:t>УЧЕБНОЙ ПРАКТИКИ</w:t>
      </w:r>
    </w:p>
    <w:p w:rsidR="00496B94" w:rsidRDefault="00496B94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BD1417" w:rsidRDefault="00BD1417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 xml:space="preserve">УП.01.01 </w:t>
      </w:r>
      <w:r w:rsidR="0023778E" w:rsidRPr="003E229C">
        <w:rPr>
          <w:rStyle w:val="10"/>
          <w:b/>
          <w:bCs/>
          <w:color w:val="000000"/>
        </w:rPr>
        <w:t>УЧЕБН</w:t>
      </w:r>
      <w:r>
        <w:rPr>
          <w:rStyle w:val="10"/>
          <w:b/>
          <w:bCs/>
          <w:color w:val="000000"/>
        </w:rPr>
        <w:t>АЯ</w:t>
      </w:r>
      <w:r w:rsidR="0023778E" w:rsidRPr="003E229C">
        <w:rPr>
          <w:rStyle w:val="10"/>
          <w:b/>
          <w:bCs/>
          <w:color w:val="000000"/>
        </w:rPr>
        <w:t xml:space="preserve"> ПРАКТИК</w:t>
      </w:r>
      <w:r>
        <w:rPr>
          <w:rStyle w:val="10"/>
          <w:b/>
          <w:bCs/>
          <w:color w:val="000000"/>
        </w:rPr>
        <w:t>А</w:t>
      </w:r>
    </w:p>
    <w:p w:rsidR="0023778E" w:rsidRPr="003E229C" w:rsidRDefault="00BD1417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(</w:t>
      </w:r>
      <w:r w:rsidRPr="00BD1417">
        <w:rPr>
          <w:rStyle w:val="10"/>
          <w:b/>
          <w:bCs/>
          <w:color w:val="000000"/>
        </w:rPr>
        <w:t>автоматизированные системы управления на железнодорожном транспорте</w:t>
      </w:r>
      <w:r>
        <w:rPr>
          <w:rStyle w:val="10"/>
          <w:b/>
          <w:bCs/>
          <w:color w:val="000000"/>
        </w:rPr>
        <w:t>)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26398E">
        <w:rPr>
          <w:rStyle w:val="2"/>
          <w:color w:val="000000"/>
          <w:u w:val="single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</w:t>
      </w:r>
      <w:r w:rsidR="00F51FE5">
        <w:rPr>
          <w:rStyle w:val="20"/>
          <w:b/>
          <w:bCs/>
          <w:color w:val="000000"/>
        </w:rPr>
        <w:t>ОЙ</w:t>
      </w:r>
      <w:r w:rsidRPr="003E229C">
        <w:rPr>
          <w:rStyle w:val="20"/>
          <w:b/>
          <w:bCs/>
          <w:color w:val="000000"/>
        </w:rPr>
        <w:t xml:space="preserve"> ПРАКТИК</w:t>
      </w:r>
      <w:bookmarkEnd w:id="2"/>
      <w:r w:rsidR="00F51FE5">
        <w:rPr>
          <w:rStyle w:val="20"/>
          <w:b/>
          <w:bCs/>
          <w:color w:val="000000"/>
        </w:rPr>
        <w:t>И</w:t>
      </w:r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F51FE5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proofErr w:type="gramStart"/>
      <w:r>
        <w:t>П</w:t>
      </w:r>
      <w:r w:rsidR="00BD1417" w:rsidRPr="006E11CC">
        <w:t xml:space="preserve">рограмма учебной практики УП.01.01 </w:t>
      </w:r>
      <w:r w:rsidR="00BD1417">
        <w:t>У</w:t>
      </w:r>
      <w:r w:rsidR="00BD1417" w:rsidRPr="006E11CC">
        <w:t>чебная практика</w:t>
      </w:r>
      <w:r w:rsidR="00BD1417" w:rsidRPr="003E229C">
        <w:rPr>
          <w:rStyle w:val="2"/>
          <w:color w:val="000000"/>
        </w:rPr>
        <w:t xml:space="preserve"> </w:t>
      </w:r>
      <w:r w:rsidR="00885869">
        <w:rPr>
          <w:rStyle w:val="10"/>
          <w:b w:val="0"/>
          <w:bCs w:val="0"/>
          <w:color w:val="000000"/>
        </w:rPr>
        <w:t>(</w:t>
      </w:r>
      <w:r w:rsidR="00885869" w:rsidRPr="00BD1417">
        <w:rPr>
          <w:rStyle w:val="10"/>
          <w:b w:val="0"/>
          <w:bCs w:val="0"/>
          <w:color w:val="000000"/>
        </w:rPr>
        <w:t>автоматизированные системы управления на железнодорожном транспорте</w:t>
      </w:r>
      <w:r w:rsidR="00885869">
        <w:rPr>
          <w:rStyle w:val="10"/>
          <w:b w:val="0"/>
          <w:bCs w:val="0"/>
          <w:color w:val="000000"/>
        </w:rPr>
        <w:t xml:space="preserve">) </w:t>
      </w:r>
      <w:r w:rsidR="0023778E"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="0023778E"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BD1417">
        <w:rPr>
          <w:rStyle w:val="2"/>
          <w:color w:val="000000"/>
        </w:rPr>
        <w:t>ого</w:t>
      </w:r>
      <w:r w:rsidR="0023778E" w:rsidRPr="003E229C">
        <w:rPr>
          <w:rStyle w:val="2"/>
          <w:color w:val="000000"/>
        </w:rPr>
        <w:t xml:space="preserve"> вид</w:t>
      </w:r>
      <w:r w:rsidR="00BD1417">
        <w:rPr>
          <w:rStyle w:val="2"/>
          <w:color w:val="000000"/>
        </w:rPr>
        <w:t>а</w:t>
      </w:r>
      <w:r w:rsidR="0023778E" w:rsidRPr="003E229C">
        <w:rPr>
          <w:rStyle w:val="2"/>
          <w:color w:val="000000"/>
        </w:rPr>
        <w:t xml:space="preserve"> профессиональной деятельности (ВПД):</w:t>
      </w:r>
      <w:proofErr w:type="gramEnd"/>
      <w:r w:rsidR="0023778E" w:rsidRPr="003E229C">
        <w:rPr>
          <w:rStyle w:val="2"/>
          <w:color w:val="000000"/>
        </w:rPr>
        <w:t xml:space="preserve"> </w:t>
      </w:r>
      <w:bookmarkStart w:id="4" w:name="bookmark4"/>
      <w:r w:rsidR="000D6ABD" w:rsidRPr="00496B94">
        <w:rPr>
          <w:rStyle w:val="2"/>
          <w:i/>
        </w:rPr>
        <w:t>Организация перевозочного</w:t>
      </w:r>
      <w:r w:rsidR="00BD1417" w:rsidRPr="00496B94">
        <w:rPr>
          <w:rStyle w:val="2"/>
          <w:i/>
        </w:rPr>
        <w:t xml:space="preserve"> процесса (по видам транспорта)</w:t>
      </w:r>
      <w:r w:rsidR="00B00AD7" w:rsidRPr="00496B94">
        <w:rPr>
          <w:rStyle w:val="2"/>
          <w:i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B00AD7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B00AD7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F51FE5" w:rsidRPr="003E229C" w:rsidRDefault="00F51FE5" w:rsidP="001E5270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ведения технической документации, контроля выполнения заданий и графиков;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использования в работе электронно-вычислительных машин для обработки оперативной информации;</w:t>
      </w:r>
    </w:p>
    <w:p w:rsidR="00F51FE5" w:rsidRPr="003E229C" w:rsidRDefault="00F51FE5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E229C">
        <w:rPr>
          <w:rStyle w:val="af4"/>
          <w:rFonts w:cs="Times New Roman"/>
          <w:bCs/>
          <w:sz w:val="24"/>
        </w:rPr>
        <w:t>уметь: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анализировать документы, регламентирующие работу транспорта в целом и его объектов в частности;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использовать программное обеспечение для решения транспортных задач;</w:t>
      </w:r>
    </w:p>
    <w:p w:rsidR="00F51FE5" w:rsidRPr="003E229C" w:rsidRDefault="00F51FE5" w:rsidP="001E527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 w:rsidR="001E5270">
        <w:rPr>
          <w:b w:val="0"/>
        </w:rPr>
        <w:t xml:space="preserve"> </w:t>
      </w:r>
      <w:r w:rsidRPr="003E229C">
        <w:rPr>
          <w:b w:val="0"/>
        </w:rPr>
        <w:t>применять компьютерные средства;</w:t>
      </w:r>
    </w:p>
    <w:p w:rsidR="00F51FE5" w:rsidRPr="003E229C" w:rsidRDefault="00F51FE5" w:rsidP="001E527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F51FE5" w:rsidRPr="003E229C" w:rsidRDefault="00F51FE5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</w:tbl>
    <w:p w:rsidR="007A0E71" w:rsidRDefault="007A0E71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="00B3506A" w:rsidRPr="003E229C">
        <w:rPr>
          <w:rStyle w:val="2"/>
          <w:b w:val="0"/>
          <w:bCs w:val="0"/>
          <w:color w:val="000000"/>
        </w:rPr>
        <w:t>8 семестр</w:t>
      </w:r>
      <w:r>
        <w:rPr>
          <w:rStyle w:val="2"/>
          <w:b w:val="0"/>
          <w:bCs w:val="0"/>
          <w:color w:val="000000"/>
        </w:rPr>
        <w:t>е</w:t>
      </w:r>
      <w:r w:rsidR="00B3506A" w:rsidRPr="003E229C">
        <w:rPr>
          <w:rStyle w:val="2"/>
          <w:b w:val="0"/>
          <w:bCs w:val="0"/>
          <w:color w:val="000000"/>
        </w:rPr>
        <w:t>.</w:t>
      </w:r>
    </w:p>
    <w:p w:rsidR="00F51FE5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F51FE5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lastRenderedPageBreak/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F51FE5" w:rsidRPr="00F51FE5">
        <w:rPr>
          <w:rStyle w:val="2"/>
          <w:color w:val="000000"/>
        </w:rPr>
        <w:t>36 часов</w:t>
      </w:r>
      <w:r w:rsidR="00F51FE5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F51FE5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F51FE5">
        <w:rPr>
          <w:rStyle w:val="20"/>
          <w:b/>
          <w:bCs/>
          <w:color w:val="000000"/>
        </w:rPr>
        <w:t>Ю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</w:t>
      </w:r>
      <w:r w:rsidR="00C379F8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практики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6D4BD5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9A1C98" w:rsidRDefault="009A1C9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УП.01.01 Учебная практика (автоматизированные системы управления на железнодорожном транспорте)</w:t>
      </w:r>
    </w:p>
    <w:p w:rsidR="00B00AD7" w:rsidRPr="009A1C98" w:rsidRDefault="00B00AD7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73"/>
        <w:gridCol w:w="2227"/>
        <w:gridCol w:w="4071"/>
        <w:gridCol w:w="951"/>
        <w:gridCol w:w="889"/>
        <w:gridCol w:w="3010"/>
        <w:gridCol w:w="1349"/>
        <w:gridCol w:w="2559"/>
      </w:tblGrid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8F6D8E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="00F0099B"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545254" w:rsidRPr="00545254" w:rsidRDefault="00545254" w:rsidP="00863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аборатори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Знание технической оснащенности, структуры и функций вычислительного центра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 xml:space="preserve">Оформлять документы, регламентирующие </w:t>
            </w:r>
            <w:r w:rsidRPr="00545254">
              <w:rPr>
                <w:rStyle w:val="2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Default="008C6EFC" w:rsidP="008630CF">
            <w:pPr>
              <w:rPr>
                <w:rStyle w:val="fontstyle01"/>
              </w:rPr>
            </w:pPr>
            <w:r>
              <w:rPr>
                <w:rStyle w:val="fontstyle01"/>
              </w:rPr>
              <w:t>Умение получать и передать информацию с помощью информационно- управляющих систем на рабочих местах</w:t>
            </w: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Умение оформлять техническую документацию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автоматизированной системе </w:t>
            </w:r>
            <w:proofErr w:type="spellStart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</w:t>
            </w: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автоматизированной системе контроля дислокации контейнерного парка (ДИСКОН)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848"/>
        </w:trPr>
        <w:tc>
          <w:tcPr>
            <w:tcW w:w="673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</w:tc>
        <w:tc>
          <w:tcPr>
            <w:tcW w:w="2227" w:type="dxa"/>
            <w:vMerge w:val="restart"/>
          </w:tcPr>
          <w:p w:rsidR="009B12E4" w:rsidRPr="00545254" w:rsidRDefault="009B12E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9B12E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9B12E4" w:rsidRPr="00545254" w:rsidRDefault="009B12E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Демонстрация работы в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ДСП/ДНЦ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СТЦ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 ПС</w:t>
            </w:r>
          </w:p>
        </w:tc>
      </w:tr>
      <w:tr w:rsidR="009B12E4" w:rsidRPr="00545254" w:rsidTr="009B12E4">
        <w:trPr>
          <w:trHeight w:val="330"/>
        </w:trPr>
        <w:tc>
          <w:tcPr>
            <w:tcW w:w="673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626"/>
        </w:trPr>
        <w:tc>
          <w:tcPr>
            <w:tcW w:w="673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12E4" w:rsidRPr="00545254" w:rsidTr="008F6D8E">
        <w:tc>
          <w:tcPr>
            <w:tcW w:w="673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документы,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регламентирующие организацию перевозочного процесса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rPr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АРМ ПС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6D8E" w:rsidRPr="00545254" w:rsidTr="00600367">
        <w:tc>
          <w:tcPr>
            <w:tcW w:w="6971" w:type="dxa"/>
            <w:gridSpan w:val="3"/>
            <w:tcBorders>
              <w:top w:val="single" w:sz="4" w:space="0" w:color="auto"/>
            </w:tcBorders>
          </w:tcPr>
          <w:p w:rsidR="008F6D8E" w:rsidRPr="008F6D8E" w:rsidRDefault="008F6D8E" w:rsidP="008630CF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51" w:type="dxa"/>
          </w:tcPr>
          <w:p w:rsidR="008F6D8E" w:rsidRPr="008F6D8E" w:rsidRDefault="008F6D8E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88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</w:tcPr>
          <w:p w:rsidR="008F6D8E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D4BD5" w:rsidRDefault="006D4BD5" w:rsidP="008630CF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23778E" w:rsidRDefault="0083298E" w:rsidP="008630CF">
      <w:pPr>
        <w:ind w:firstLine="709"/>
        <w:jc w:val="both"/>
        <w:rPr>
          <w:rStyle w:val="2"/>
          <w:b/>
          <w:bCs/>
        </w:rPr>
      </w:pPr>
      <w:r w:rsidRPr="003E229C">
        <w:rPr>
          <w:rStyle w:val="2"/>
          <w:b/>
          <w:bCs/>
        </w:rPr>
        <w:t>УП.01.01 Учебная практика (автоматизированные системы управления на железнодорожном транспорте)</w:t>
      </w:r>
    </w:p>
    <w:p w:rsidR="006D4BD5" w:rsidRDefault="006D4BD5" w:rsidP="008630CF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52"/>
        <w:gridCol w:w="8003"/>
        <w:gridCol w:w="1418"/>
      </w:tblGrid>
      <w:tr w:rsidR="0006727B" w:rsidRPr="000812C1" w:rsidTr="0006727B">
        <w:trPr>
          <w:trHeight w:val="276"/>
        </w:trPr>
        <w:tc>
          <w:tcPr>
            <w:tcW w:w="752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003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  <w:vMerge w:val="restart"/>
          </w:tcPr>
          <w:p w:rsidR="0006727B" w:rsidRPr="000812C1" w:rsidRDefault="0006727B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rPr>
          <w:trHeight w:val="298"/>
        </w:trPr>
        <w:tc>
          <w:tcPr>
            <w:tcW w:w="752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003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extDirection w:val="btL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52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  <w:r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spacing w:val="-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 xml:space="preserve">Получение справок в автоматизированной системе </w:t>
            </w:r>
            <w:proofErr w:type="spellStart"/>
            <w:r w:rsidRPr="000812C1">
              <w:rPr>
                <w:rFonts w:ascii="Times New Roman" w:eastAsiaTheme="minorEastAsia" w:hAnsi="Times New Roman" w:cs="Times New Roman"/>
              </w:rPr>
              <w:t>пономерного</w:t>
            </w:r>
            <w:proofErr w:type="spellEnd"/>
            <w:r w:rsidRPr="000812C1">
              <w:rPr>
                <w:rFonts w:ascii="Times New Roman" w:eastAsiaTheme="minorEastAsia" w:hAnsi="Times New Roman" w:cs="Times New Roman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ДСП/ДНЦ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СТЦ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rPr>
                <w:rFonts w:asciiTheme="minorHAnsi" w:eastAsiaTheme="minorEastAsia" w:hAnsiTheme="minorHAnsi"/>
              </w:rPr>
            </w:pPr>
            <w:r w:rsidRPr="000812C1">
              <w:rPr>
                <w:rFonts w:ascii="Times New Roman" w:hAnsi="Times New Roman" w:cs="Times New Roman"/>
              </w:rPr>
              <w:t>Работа в АРМ ПС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36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 xml:space="preserve">рактика для получения первичных профессиональных навыков предполагает приобретение навыков применения АРМ ПС, АРМ СТЦ, АРМ ДСП, АРМ ДНЦ.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1E527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Pr="002D020F">
        <w:rPr>
          <w:rStyle w:val="2"/>
          <w:color w:val="000000"/>
        </w:rPr>
        <w:t>УП.01.01 Учебная практика (автоматизированные системы управления на железнодорожном транспорте)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автоматизированных систем</w:t>
      </w:r>
      <w:r>
        <w:rPr>
          <w:color w:val="000000"/>
        </w:rPr>
        <w:t xml:space="preserve"> </w:t>
      </w:r>
      <w:r w:rsidRPr="001244E1">
        <w:rPr>
          <w:color w:val="000000"/>
        </w:rPr>
        <w:t>управления.</w:t>
      </w: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Оборудование</w:t>
      </w:r>
      <w:r w:rsidRPr="005D650B">
        <w:rPr>
          <w:i/>
          <w:sz w:val="24"/>
          <w:szCs w:val="24"/>
        </w:rPr>
        <w:t>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5D650B" w:rsidRDefault="002D020F" w:rsidP="002D020F">
      <w:pPr>
        <w:ind w:right="-7" w:firstLine="740"/>
        <w:rPr>
          <w:rFonts w:ascii="Times New Roman" w:hAnsi="Times New Roman"/>
          <w:i/>
        </w:rPr>
      </w:pPr>
      <w:r w:rsidRPr="005D650B">
        <w:rPr>
          <w:rFonts w:ascii="Times New Roman" w:hAnsi="Times New Roman"/>
          <w:i/>
        </w:rPr>
        <w:t xml:space="preserve">Технические средства обучения: 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1. </w:t>
      </w:r>
      <w:r w:rsidRPr="00370CD9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2. </w:t>
      </w:r>
      <w:r w:rsidRPr="00370CD9">
        <w:rPr>
          <w:rFonts w:cs="Arial Unicode MS"/>
          <w:color w:val="000000"/>
        </w:rPr>
        <w:t>Видеопроектор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 w:rsidRPr="00370CD9">
        <w:rPr>
          <w:rFonts w:cs="Arial Unicode MS"/>
          <w:color w:val="000000"/>
        </w:rPr>
        <w:t xml:space="preserve">3. Экран 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23778E" w:rsidRPr="006D6F16" w:rsidRDefault="0023778E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учебной практики </w:t>
      </w:r>
      <w:r w:rsidR="006D6F16" w:rsidRPr="00AB21D2">
        <w:rPr>
          <w:rStyle w:val="2"/>
          <w:color w:val="000000"/>
        </w:rPr>
        <w:t xml:space="preserve">УП.01.01. Учебная практика (автоматизированные системы управления на железнодорожном транспорте) </w:t>
      </w:r>
      <w:r w:rsidRPr="00AB21D2">
        <w:rPr>
          <w:rStyle w:val="2"/>
          <w:color w:val="000000"/>
        </w:rPr>
        <w:t>проводится концентрированно, после изучения МДК</w:t>
      </w:r>
      <w:r w:rsidR="006D6F16" w:rsidRPr="00AB21D2">
        <w:rPr>
          <w:rStyle w:val="2"/>
          <w:color w:val="000000"/>
        </w:rPr>
        <w:t>.01.03 Автоматизированные системы управления на транспорте (по видам транспорта)</w:t>
      </w:r>
      <w:r w:rsidRPr="00AB21D2">
        <w:rPr>
          <w:rStyle w:val="2"/>
          <w:color w:val="000000"/>
        </w:rPr>
        <w:t xml:space="preserve"> в рамках профессионального модуля </w:t>
      </w:r>
      <w:r w:rsidR="006D6F16" w:rsidRPr="00AB21D2">
        <w:rPr>
          <w:rStyle w:val="2"/>
          <w:color w:val="000000"/>
        </w:rPr>
        <w:t>ПМ.01. Организация перевозочного процесса (по видам транспорта)</w:t>
      </w:r>
      <w:r w:rsidRPr="00AB21D2">
        <w:rPr>
          <w:rStyle w:val="2"/>
          <w:color w:val="000000"/>
        </w:rPr>
        <w:t>. Обязательным условием допуска к учебной практик</w:t>
      </w:r>
      <w:r w:rsidR="006D6F16" w:rsidRPr="00AB21D2">
        <w:rPr>
          <w:rStyle w:val="2"/>
          <w:color w:val="000000"/>
        </w:rPr>
        <w:t>е</w:t>
      </w:r>
      <w:r w:rsidRPr="00AB21D2">
        <w:rPr>
          <w:rStyle w:val="2"/>
          <w:color w:val="000000"/>
        </w:rPr>
        <w:t xml:space="preserve"> является освоение </w:t>
      </w:r>
      <w:r w:rsidR="00AB21D2" w:rsidRPr="00AB21D2">
        <w:rPr>
          <w:rStyle w:val="2"/>
          <w:color w:val="000000"/>
        </w:rPr>
        <w:t>МДК.01.01. Технология перевозочного процесса (по видам транспорта), МДК.01.02. Информационное обеспечение перевозочного процесса (по видам транспорта)</w:t>
      </w:r>
      <w:r w:rsidRPr="00AB21D2">
        <w:rPr>
          <w:rStyle w:val="2"/>
          <w:color w:val="000000"/>
        </w:rPr>
        <w:t>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показателей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маневровых операций;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эксплуатационных задач;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автоматизированных систем, применяемых в перевозочном процессе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1.2. Организовывать работу персонала по обеспечению безопасности перевозок и выбору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lastRenderedPageBreak/>
              <w:t>точность и правильность оформления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 xml:space="preserve">выполнение </w:t>
            </w:r>
            <w:proofErr w:type="gramStart"/>
            <w:r w:rsidRPr="00EF0682">
              <w:rPr>
                <w:color w:val="auto"/>
                <w:sz w:val="24"/>
                <w:szCs w:val="24"/>
              </w:rPr>
              <w:t xml:space="preserve">анализа случаев </w:t>
            </w:r>
            <w:r w:rsidRPr="00EF0682">
              <w:rPr>
                <w:color w:val="auto"/>
                <w:sz w:val="24"/>
                <w:szCs w:val="24"/>
              </w:rPr>
              <w:lastRenderedPageBreak/>
              <w:t>нарушения безопасности движения</w:t>
            </w:r>
            <w:proofErr w:type="gramEnd"/>
            <w:r w:rsidRPr="00EF0682">
              <w:rPr>
                <w:color w:val="auto"/>
                <w:sz w:val="24"/>
                <w:szCs w:val="24"/>
              </w:rPr>
              <w:t xml:space="preserve"> на транспорте;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демонстрация умения использовать документы, регламентирующие безопасность движения на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1.3. Оформлять документы, регламентирующие организацию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ведение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выполнение графиков обработки поездов различных категорий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7E0" w:rsidRDefault="003277E0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3277E0" w:rsidRDefault="00327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7E0" w:rsidRDefault="003277E0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3277E0" w:rsidRDefault="003277E0">
      <w:r>
        <w:continuationSeparator/>
      </w:r>
    </w:p>
  </w:footnote>
  <w:footnote w:id="1">
    <w:p w:rsidR="00BD1417" w:rsidRDefault="00BD141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24B3"/>
    <w:rsid w:val="000F5848"/>
    <w:rsid w:val="00124182"/>
    <w:rsid w:val="001244E1"/>
    <w:rsid w:val="00131E9F"/>
    <w:rsid w:val="0014541D"/>
    <w:rsid w:val="00153C58"/>
    <w:rsid w:val="001569D2"/>
    <w:rsid w:val="00162762"/>
    <w:rsid w:val="001A6C04"/>
    <w:rsid w:val="001D1E61"/>
    <w:rsid w:val="001E5270"/>
    <w:rsid w:val="001F78C8"/>
    <w:rsid w:val="00226DDC"/>
    <w:rsid w:val="0023278A"/>
    <w:rsid w:val="0023778E"/>
    <w:rsid w:val="00254D7C"/>
    <w:rsid w:val="0026398E"/>
    <w:rsid w:val="00286567"/>
    <w:rsid w:val="002955CE"/>
    <w:rsid w:val="0029602C"/>
    <w:rsid w:val="002B6A0A"/>
    <w:rsid w:val="002C133F"/>
    <w:rsid w:val="002C6E71"/>
    <w:rsid w:val="002D020F"/>
    <w:rsid w:val="002F68F3"/>
    <w:rsid w:val="00300F5B"/>
    <w:rsid w:val="00302BAD"/>
    <w:rsid w:val="003277E0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96B94"/>
    <w:rsid w:val="004B2604"/>
    <w:rsid w:val="004B7BD4"/>
    <w:rsid w:val="00545254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461BB"/>
    <w:rsid w:val="00680F83"/>
    <w:rsid w:val="00692767"/>
    <w:rsid w:val="006A4AD7"/>
    <w:rsid w:val="006A78BA"/>
    <w:rsid w:val="006D4BD5"/>
    <w:rsid w:val="006D6F16"/>
    <w:rsid w:val="006E3ACB"/>
    <w:rsid w:val="006E63FC"/>
    <w:rsid w:val="006F10D5"/>
    <w:rsid w:val="00735194"/>
    <w:rsid w:val="00754049"/>
    <w:rsid w:val="00772478"/>
    <w:rsid w:val="007769C1"/>
    <w:rsid w:val="007A0E71"/>
    <w:rsid w:val="007D6F13"/>
    <w:rsid w:val="007F6DF2"/>
    <w:rsid w:val="0081592E"/>
    <w:rsid w:val="0083298E"/>
    <w:rsid w:val="008630CF"/>
    <w:rsid w:val="00885869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2304F"/>
    <w:rsid w:val="00A44C71"/>
    <w:rsid w:val="00A51B66"/>
    <w:rsid w:val="00AB21D2"/>
    <w:rsid w:val="00AD4E06"/>
    <w:rsid w:val="00AE41DD"/>
    <w:rsid w:val="00AE464B"/>
    <w:rsid w:val="00B00AD7"/>
    <w:rsid w:val="00B124C6"/>
    <w:rsid w:val="00B3506A"/>
    <w:rsid w:val="00BA085C"/>
    <w:rsid w:val="00BC5374"/>
    <w:rsid w:val="00BD1417"/>
    <w:rsid w:val="00C1052D"/>
    <w:rsid w:val="00C13404"/>
    <w:rsid w:val="00C379F8"/>
    <w:rsid w:val="00C543D0"/>
    <w:rsid w:val="00C65B88"/>
    <w:rsid w:val="00C80D07"/>
    <w:rsid w:val="00C84895"/>
    <w:rsid w:val="00CA2B7D"/>
    <w:rsid w:val="00CC4E52"/>
    <w:rsid w:val="00CD1FAC"/>
    <w:rsid w:val="00D65F4A"/>
    <w:rsid w:val="00D72246"/>
    <w:rsid w:val="00D80013"/>
    <w:rsid w:val="00DC6258"/>
    <w:rsid w:val="00DD6E65"/>
    <w:rsid w:val="00DE410C"/>
    <w:rsid w:val="00DF7293"/>
    <w:rsid w:val="00E35443"/>
    <w:rsid w:val="00E87028"/>
    <w:rsid w:val="00EF0682"/>
    <w:rsid w:val="00F0099B"/>
    <w:rsid w:val="00F0546A"/>
    <w:rsid w:val="00F351CB"/>
    <w:rsid w:val="00F51FE5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15</cp:revision>
  <cp:lastPrinted>2023-04-11T13:11:00Z</cp:lastPrinted>
  <dcterms:created xsi:type="dcterms:W3CDTF">2023-04-14T09:07:00Z</dcterms:created>
  <dcterms:modified xsi:type="dcterms:W3CDTF">2024-08-29T06:52:00Z</dcterms:modified>
</cp:coreProperties>
</file>