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AB75EE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2022</w:t>
      </w:r>
      <w:bookmarkStart w:id="0" w:name="_GoBack"/>
      <w:bookmarkEnd w:id="0"/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менеджмента,  личность,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№4 </w:t>
            </w:r>
            <w:r w:rsidRPr="00380CF3">
              <w:rPr>
                <w:bCs/>
                <w:sz w:val="20"/>
                <w:szCs w:val="20"/>
              </w:rPr>
              <w:t xml:space="preserve"> Подготовить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Особенности  менеджмента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1 .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(ПТОЛ)  Организация экипировки локомотивов.  Выбор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 xml:space="preserve">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«Снабжение материалами, условия их хранения. Требования к качеству материалов. Требования охраны труда  при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14 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  Расчёт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18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19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труда 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«.Ценообразование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380CF3">
              <w:rPr>
                <w:sz w:val="18"/>
                <w:szCs w:val="18"/>
              </w:rPr>
              <w:t xml:space="preserve">участка.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>План расходов участка. Общепроизводственные расходы. Общехозяйственные  расходы.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№9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3.3 Нормативные документы, 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89" w:rsidRDefault="00E03389">
      <w:r>
        <w:separator/>
      </w:r>
    </w:p>
  </w:endnote>
  <w:endnote w:type="continuationSeparator" w:id="0">
    <w:p w:rsidR="00E03389" w:rsidRDefault="00E0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89" w:rsidRDefault="00E03389">
      <w:r>
        <w:separator/>
      </w:r>
    </w:p>
  </w:footnote>
  <w:footnote w:type="continuationSeparator" w:id="0">
    <w:p w:rsidR="00E03389" w:rsidRDefault="00E0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B75EE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03389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F824C-F947-4E0B-A031-6CE25777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C370-B43E-4DC9-8D13-C1811BB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11130</Words>
  <Characters>63441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22</cp:revision>
  <cp:lastPrinted>2020-02-14T06:38:00Z</cp:lastPrinted>
  <dcterms:created xsi:type="dcterms:W3CDTF">2023-04-22T04:55:00Z</dcterms:created>
  <dcterms:modified xsi:type="dcterms:W3CDTF">2024-04-24T05:23:00Z</dcterms:modified>
</cp:coreProperties>
</file>