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 xml:space="preserve">Приложение </w:t>
            </w:r>
            <w:bookmarkStart w:id="0" w:name="_GoBack"/>
            <w:bookmarkEnd w:id="0"/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A695B" w:rsidRPr="003A695B" w:rsidRDefault="003A695B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Год начала подготовки 2022</w:t>
      </w:r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по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01.</w:t>
      </w:r>
      <w:r w:rsidRPr="00341200">
        <w:rPr>
          <w:rFonts w:ascii="Times New Roman" w:hAnsi="Times New Roman" w:cs="Times New Roman"/>
        </w:rPr>
        <w:t xml:space="preserve">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02.</w:t>
      </w:r>
      <w:r>
        <w:rPr>
          <w:rFonts w:ascii="Times New Roman" w:hAnsi="Times New Roman" w:cs="Times New Roman"/>
        </w:rPr>
        <w:t xml:space="preserve"> </w:t>
      </w:r>
      <w:r w:rsidRPr="00341200">
        <w:rPr>
          <w:rFonts w:ascii="Times New Roman" w:hAnsi="Times New Roman" w:cs="Times New Roman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03.</w:t>
      </w:r>
      <w:r w:rsidRPr="00341200">
        <w:rPr>
          <w:rFonts w:ascii="Times New Roman" w:hAnsi="Times New Roman" w:cs="Times New Roman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04.</w:t>
      </w:r>
      <w:r>
        <w:rPr>
          <w:rFonts w:ascii="Times New Roman" w:hAnsi="Times New Roman" w:cs="Times New Roman"/>
        </w:rPr>
        <w:t xml:space="preserve"> Эффективно взаимодействовать и работать в коллективе и команде.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05.</w:t>
      </w:r>
      <w:r>
        <w:rPr>
          <w:rFonts w:ascii="Times New Roman" w:hAnsi="Times New Roman" w:cs="Times New Roman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06.</w:t>
      </w:r>
      <w:r>
        <w:rPr>
          <w:rFonts w:ascii="Times New Roman" w:hAnsi="Times New Roman" w:cs="Times New Roman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07.</w:t>
      </w:r>
      <w:r>
        <w:rPr>
          <w:rFonts w:ascii="Times New Roman" w:hAnsi="Times New Roman" w:cs="Times New Roman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B86E18" w:rsidRPr="00B86E18" w:rsidRDefault="00B86E18" w:rsidP="00B86E18">
      <w:pPr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09.</w:t>
      </w:r>
      <w:r>
        <w:rPr>
          <w:rFonts w:ascii="Times New Roman" w:hAnsi="Times New Roman" w:cs="Times New Roman"/>
        </w:rPr>
        <w:t xml:space="preserve"> Пользоваться профессиональной документацией на государственном и иностранном языках.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2.2</w:t>
      </w:r>
      <w:r>
        <w:rPr>
          <w:rFonts w:ascii="Times New Roman" w:hAnsi="Times New Roman" w:cs="Times New Roman"/>
        </w:rPr>
        <w:t>. Планировать и организовывать мероприятия по соблюдению норм безопасных условий труда;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2.3</w:t>
      </w:r>
      <w:r>
        <w:rPr>
          <w:rFonts w:ascii="Times New Roman" w:hAnsi="Times New Roman" w:cs="Times New Roman"/>
        </w:rPr>
        <w:t>. Контролировать и оценивать качество выполняемых работ;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техническую и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lastRenderedPageBreak/>
        <w:t>ЛР 13</w:t>
      </w:r>
      <w:r>
        <w:rPr>
          <w:rFonts w:ascii="Times New Roman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Проявляющий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У1.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У2.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З1.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З2.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по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САПРе»,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>детали в САПРе»»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>. 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Изучение ГОСТов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каком расстоянии от контура проводятся размерные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 xml:space="preserve">Что определяет координата У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>Сколько нужно иметь проекций, чтобы определить положение прямой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лежащих на них</w:t>
      </w:r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Каковы коэффициенты искажения для диметрии?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Чем технический рисунок отличается от художественного?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 построить аксонометрические оси для диметрической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r>
        <w:rPr>
          <w:rFonts w:ascii="Times New Roman" w:hAnsi="Times New Roman" w:cs="Times New Roman"/>
          <w:b/>
          <w:i/>
        </w:rPr>
        <w:t>Деталирование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ГОСТом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>Какое изображение называется сечением и какое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>Какие детали относятся к крепежным?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 Какие соединения относятся к разъемным?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>Какие соединения относятся к разъемным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13. На листах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листах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эскизирования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развивать навыки чтения и деталирования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1. Назовите этапы эскизирования.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2. Каким образом выбирают материал для эскизируемых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>Что называют деталированием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>сооружений по СНиП;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Работа с ГОСТом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за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>3. Работа с ГОСТом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изометрической проекции от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>Тема 4.1 Общие сведения о САПРе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>Построение плоских изображений в САПРе.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084D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схем по специальности в САПРе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>детали  в САПРе.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плана участка вагонного депо в САПРе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технического рисунка и эскиза детали сборочной единицы в САПРе.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Опишите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Каково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 Какая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Какая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Какая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 Какая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 wp14:anchorId="7A948E09" wp14:editId="3019DF83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 wp14:anchorId="6BA08253" wp14:editId="07B48CE9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 wp14:anchorId="348E89B5" wp14:editId="5B45AE08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Укажите,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 wp14:anchorId="1B325B79" wp14:editId="75EC0061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 wp14:anchorId="79D777C1" wp14:editId="5A1A2451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 wp14:anchorId="37F02559" wp14:editId="12D58CB8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 wp14:anchorId="258429F7" wp14:editId="5A4AA845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 wp14:anchorId="7D263A1A" wp14:editId="3E8FEBE2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 wp14:anchorId="3259216F" wp14:editId="20645B1F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 wp14:anchorId="450865CA" wp14:editId="6E35D2B1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 Как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 Как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 Как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 С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задание выполнено с использованием ГОСТов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>обучающийся посредственно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обучающийся: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</w:t>
      </w:r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обучающийся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</w:t>
      </w:r>
      <w:r>
        <w:rPr>
          <w:rFonts w:ascii="Times New Roman" w:hAnsi="Times New Roman" w:cs="Times New Roman"/>
        </w:rPr>
        <w:t xml:space="preserve">имися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 w:rsidR="00C968F0" w:rsidRPr="00C968F0">
        <w:rPr>
          <w:rFonts w:ascii="Times New Roman" w:hAnsi="Times New Roman" w:cs="Times New Roman"/>
          <w:color w:val="000000"/>
        </w:rPr>
        <w:t>Какие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="00C968F0" w:rsidRPr="00C968F0">
        <w:rPr>
          <w:rFonts w:ascii="Times New Roman" w:hAnsi="Times New Roman" w:cs="Times New Roman"/>
          <w:color w:val="000000"/>
        </w:rPr>
        <w:t>Какие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 w:rsidR="00C968F0" w:rsidRPr="00C968F0">
        <w:rPr>
          <w:rFonts w:ascii="Times New Roman" w:hAnsi="Times New Roman" w:cs="Times New Roman"/>
          <w:color w:val="000000"/>
        </w:rPr>
        <w:t>На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C968F0" w:rsidRPr="00C968F0">
        <w:rPr>
          <w:rFonts w:ascii="Times New Roman" w:hAnsi="Times New Roman" w:cs="Times New Roman"/>
          <w:color w:val="000000"/>
        </w:rPr>
        <w:t>Какие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 w:rsidR="00C968F0" w:rsidRPr="00C968F0">
        <w:rPr>
          <w:rFonts w:ascii="Times New Roman" w:hAnsi="Times New Roman" w:cs="Times New Roman"/>
          <w:color w:val="000000"/>
        </w:rPr>
        <w:t>Какой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 </w:t>
      </w:r>
      <w:r w:rsidR="00C968F0" w:rsidRPr="00C968F0">
        <w:rPr>
          <w:rFonts w:ascii="Times New Roman" w:hAnsi="Times New Roman" w:cs="Times New Roman"/>
          <w:color w:val="000000"/>
        </w:rPr>
        <w:t>Как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13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14 </w:t>
      </w:r>
      <w:r w:rsidR="00C968F0" w:rsidRPr="00C968F0">
        <w:rPr>
          <w:rFonts w:ascii="Times New Roman" w:hAnsi="Times New Roman" w:cs="Times New Roman"/>
          <w:color w:val="000000"/>
        </w:rPr>
        <w:t>Как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15 </w:t>
      </w:r>
      <w:r w:rsidR="00C968F0" w:rsidRPr="00C968F0">
        <w:rPr>
          <w:rFonts w:ascii="Times New Roman" w:hAnsi="Times New Roman" w:cs="Times New Roman"/>
          <w:color w:val="000000"/>
        </w:rPr>
        <w:t>Как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16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18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21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23 </w:t>
      </w:r>
      <w:r w:rsidR="00C968F0" w:rsidRPr="00C968F0">
        <w:rPr>
          <w:rFonts w:ascii="Times New Roman" w:hAnsi="Times New Roman" w:cs="Times New Roman"/>
          <w:color w:val="000000"/>
        </w:rPr>
        <w:t>Какие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 </w:t>
      </w:r>
      <w:r w:rsidR="00C968F0" w:rsidRPr="00C968F0">
        <w:rPr>
          <w:rFonts w:ascii="Times New Roman" w:hAnsi="Times New Roman" w:cs="Times New Roman"/>
          <w:color w:val="000000"/>
        </w:rPr>
        <w:t>Какие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26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30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35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37 </w:t>
      </w:r>
      <w:r w:rsidR="00C968F0" w:rsidRPr="00C968F0">
        <w:rPr>
          <w:rFonts w:ascii="Times New Roman" w:hAnsi="Times New Roman" w:cs="Times New Roman"/>
          <w:color w:val="000000"/>
        </w:rPr>
        <w:t>Какое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38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39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40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-выноска,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43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44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45 </w:t>
      </w:r>
      <w:r w:rsidR="00C968F0" w:rsidRPr="00C968F0">
        <w:rPr>
          <w:rFonts w:ascii="Times New Roman" w:hAnsi="Times New Roman" w:cs="Times New Roman"/>
          <w:color w:val="000000"/>
        </w:rPr>
        <w:t>Какие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46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47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48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50 </w:t>
      </w:r>
      <w:r w:rsidR="00C968F0" w:rsidRPr="00C968F0">
        <w:rPr>
          <w:rFonts w:ascii="Times New Roman" w:hAnsi="Times New Roman" w:cs="Times New Roman"/>
          <w:color w:val="000000"/>
        </w:rPr>
        <w:t>В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 </w:t>
      </w:r>
      <w:r w:rsidR="00C968F0" w:rsidRPr="00C968F0">
        <w:rPr>
          <w:rFonts w:ascii="Times New Roman" w:hAnsi="Times New Roman" w:cs="Times New Roman"/>
          <w:color w:val="000000"/>
        </w:rPr>
        <w:t>Как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</w:t>
      </w:r>
      <w:r w:rsidR="00C968F0" w:rsidRPr="00C968F0">
        <w:rPr>
          <w:rFonts w:ascii="Times New Roman" w:hAnsi="Times New Roman" w:cs="Times New Roman"/>
          <w:color w:val="000000"/>
        </w:rPr>
        <w:t>В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53 </w:t>
      </w:r>
      <w:r w:rsidR="00C968F0" w:rsidRPr="00C968F0">
        <w:rPr>
          <w:rFonts w:ascii="Times New Roman" w:hAnsi="Times New Roman" w:cs="Times New Roman"/>
          <w:color w:val="000000"/>
        </w:rPr>
        <w:t>Как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55 </w:t>
      </w:r>
      <w:r w:rsidR="00C968F0" w:rsidRPr="00C968F0">
        <w:rPr>
          <w:rFonts w:ascii="Times New Roman" w:hAnsi="Times New Roman" w:cs="Times New Roman"/>
          <w:color w:val="000000"/>
        </w:rPr>
        <w:t>Какая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56 </w:t>
      </w:r>
      <w:r w:rsidR="00C968F0" w:rsidRPr="00C968F0">
        <w:rPr>
          <w:rFonts w:ascii="Times New Roman" w:hAnsi="Times New Roman" w:cs="Times New Roman"/>
          <w:color w:val="000000"/>
        </w:rPr>
        <w:t>Как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58 </w:t>
      </w:r>
      <w:r w:rsidR="00C968F0" w:rsidRPr="00C968F0">
        <w:rPr>
          <w:rFonts w:ascii="Times New Roman" w:hAnsi="Times New Roman" w:cs="Times New Roman"/>
          <w:color w:val="000000"/>
        </w:rPr>
        <w:t>В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>Литература для обучающихся: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>.  - Режим доступа: для авториз.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 Веселов, В.И., Инженерная графика для машиностроительных специальностей: учебник / В.И. Веселов, О.В. Георгиевский. — Москва: КноРус,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графика.: учебник / Н.С. Кувшинов, Т.Н. Скоцкая. — Москва: КноРус,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Чекмарев, А.А., Инженерная графика: учебное пособие / А.А. Чекмарев, В.К. Осипов. — Москва: КноРус,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Швец, М.И., Инженерная графика. Практикум: учебно-практическое пособие / М.И. Швец, А.П. Пакулин, В.Н. Тимофеев. — Москва: КноРус,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Серга, Г.В. Инженерная графика: учебник / Г.В. Серга, И.И. Табачук, Н.Н. Кузнецова; 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Дюмин. - Санкт-Петербур: БГТУ "Военмех" им. Д.Ф. 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>. – Загл.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 При организации дистанционного обучения используются электронные платформы: Zoom, Moodle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r>
        <w:rPr>
          <w:rFonts w:ascii="Times New Roman" w:hAnsi="Times New Roman" w:cs="Times New Roman"/>
        </w:rPr>
        <w:t xml:space="preserve"> )</w:t>
      </w:r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ГОСТов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D45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- 9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8 - 7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6 - 5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высотой строчных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высотой прописных букв в мм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шириной прописных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высотой строки строчных букв в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А4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Сколько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А4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584233EB" wp14:editId="7ECEA34C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 </w:t>
      </w:r>
      <w:r w:rsidRPr="006211B6">
        <w:rPr>
          <w:rFonts w:ascii="Times New Roman" w:hAnsi="Times New Roman" w:cs="Times New Roman"/>
          <w:b/>
          <w:color w:val="000000"/>
        </w:rPr>
        <w:t>Какое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 Какое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 Какое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 </w:t>
      </w:r>
      <w:r w:rsidRPr="006211B6">
        <w:rPr>
          <w:rFonts w:ascii="Times New Roman" w:hAnsi="Times New Roman" w:cs="Times New Roman"/>
          <w:b/>
          <w:color w:val="000000"/>
        </w:rPr>
        <w:t xml:space="preserve">Какая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 Какое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10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На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0133ABCB" wp14:editId="36523023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Сколько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Сколько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А1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5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28E8630C" wp14:editId="762C9567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r w:rsidRPr="006211B6">
        <w:rPr>
          <w:rFonts w:ascii="GOST type B" w:hAnsi="GOST type B" w:cs="Times New Roman"/>
          <w:i/>
        </w:rPr>
        <w:t>ж</w:t>
      </w:r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гр.А-21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В)</w:t>
      </w:r>
      <w:r w:rsidRPr="006211B6">
        <w:rPr>
          <w:rFonts w:ascii="GOST type B" w:hAnsi="GOST type B" w:cs="Times New Roman"/>
          <w:i/>
        </w:rPr>
        <w:t xml:space="preserve">СТР.5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Какое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>Деталирование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Тr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треугольный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прямоугольная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 xml:space="preserve">7 Какой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метрическая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0AC56AB5" wp14:editId="529B69FC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8 Какое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7949EFA2" wp14:editId="247B12CA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 xml:space="preserve">9 Какое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2.1 Простые –по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 На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цилиндрическая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коническая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 Какие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>4) Тr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r w:rsidRPr="003841BD">
        <w:rPr>
          <w:rFonts w:ascii="Times New Roman" w:eastAsia="Calibri" w:hAnsi="Times New Roman" w:cs="Times New Roman"/>
          <w:lang w:val="en-US"/>
        </w:rPr>
        <w:t>Tr</w:t>
      </w:r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а )Вид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Инструкция для обучающихся: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="000D0AE4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16 - 18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12 - 14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А4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А4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6801E58" wp14:editId="3C19011E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5D4B86" wp14:editId="46274C8A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B7884A1" wp14:editId="7984DAD5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На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5ED641E" wp14:editId="5F26B7AD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17 Какое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D73E9AD" wp14:editId="12D8925A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9B252C">
              <w:rPr>
                <w:rFonts w:ascii="Times New Roman" w:hAnsi="Times New Roman"/>
              </w:rPr>
              <w:t>2)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9B252C">
              <w:rPr>
                <w:rFonts w:ascii="Times New Roman" w:hAnsi="Times New Roman"/>
              </w:rPr>
              <w:t xml:space="preserve">3)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08A96D" wp14:editId="2758874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6AD35AF" wp14:editId="3DF12429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67050B77" wp14:editId="4795B483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53AEF17" wp14:editId="50F3159A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890A364" wp14:editId="7FD9032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E30EA1">
              <w:rPr>
                <w:rFonts w:ascii="Times New Roman" w:hAnsi="Times New Roman"/>
                <w:b/>
              </w:rPr>
              <w:t xml:space="preserve"> На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59CD9F" wp14:editId="67323549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eastAsia="Calibri" w:hAnsi="Times New Roman"/>
                <w:b/>
              </w:rPr>
              <w:t xml:space="preserve"> Какое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 wp14:anchorId="0C331A46" wp14:editId="1F83A05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17ABB45A" wp14:editId="3132ACC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0D0AE4">
              <w:rPr>
                <w:rFonts w:ascii="Times New Roman" w:hAnsi="Times New Roman"/>
              </w:rPr>
              <w:t>2)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0D0AE4">
              <w:rPr>
                <w:rFonts w:ascii="Times New Roman" w:hAnsi="Times New Roman"/>
              </w:rPr>
              <w:t xml:space="preserve">3)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01A033E" wp14:editId="00FB0B9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9F742F8" wp14:editId="5DD0FA06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lastRenderedPageBreak/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AB" w:rsidRDefault="00A254AB" w:rsidP="009D38C8">
      <w:pPr>
        <w:spacing w:before="0" w:after="0" w:line="240" w:lineRule="auto"/>
      </w:pPr>
      <w:r>
        <w:separator/>
      </w:r>
    </w:p>
  </w:endnote>
  <w:endnote w:type="continuationSeparator" w:id="0">
    <w:p w:rsidR="00A254AB" w:rsidRDefault="00A254AB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AB" w:rsidRDefault="00A254AB" w:rsidP="009D38C8">
      <w:pPr>
        <w:spacing w:before="0" w:after="0" w:line="240" w:lineRule="auto"/>
      </w:pPr>
      <w:r>
        <w:separator/>
      </w:r>
    </w:p>
  </w:footnote>
  <w:footnote w:type="continuationSeparator" w:id="0">
    <w:p w:rsidR="00A254AB" w:rsidRDefault="00A254AB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464A89"/>
    <w:rsid w:val="00472781"/>
    <w:rsid w:val="00495335"/>
    <w:rsid w:val="004A1A92"/>
    <w:rsid w:val="004B1869"/>
    <w:rsid w:val="004C0060"/>
    <w:rsid w:val="00570E04"/>
    <w:rsid w:val="005B1856"/>
    <w:rsid w:val="005D0E94"/>
    <w:rsid w:val="005E534E"/>
    <w:rsid w:val="006211B6"/>
    <w:rsid w:val="00621F77"/>
    <w:rsid w:val="00630DED"/>
    <w:rsid w:val="00634E40"/>
    <w:rsid w:val="00681A11"/>
    <w:rsid w:val="006B292A"/>
    <w:rsid w:val="006B6B38"/>
    <w:rsid w:val="006C3502"/>
    <w:rsid w:val="006C7111"/>
    <w:rsid w:val="00700BBA"/>
    <w:rsid w:val="00701F79"/>
    <w:rsid w:val="00706682"/>
    <w:rsid w:val="00735F2B"/>
    <w:rsid w:val="00751BE7"/>
    <w:rsid w:val="007D0059"/>
    <w:rsid w:val="007D152B"/>
    <w:rsid w:val="007D3BFA"/>
    <w:rsid w:val="007F5002"/>
    <w:rsid w:val="00811384"/>
    <w:rsid w:val="00817F02"/>
    <w:rsid w:val="00871282"/>
    <w:rsid w:val="008B12AA"/>
    <w:rsid w:val="00903734"/>
    <w:rsid w:val="0091373B"/>
    <w:rsid w:val="00950EC8"/>
    <w:rsid w:val="00953627"/>
    <w:rsid w:val="009833BC"/>
    <w:rsid w:val="00991924"/>
    <w:rsid w:val="009B20E5"/>
    <w:rsid w:val="009B252C"/>
    <w:rsid w:val="009C3683"/>
    <w:rsid w:val="009D38C8"/>
    <w:rsid w:val="00A254AB"/>
    <w:rsid w:val="00AB32CE"/>
    <w:rsid w:val="00B20EF4"/>
    <w:rsid w:val="00B23743"/>
    <w:rsid w:val="00B66F48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61FE8"/>
    <w:rsid w:val="00C745A2"/>
    <w:rsid w:val="00C92E28"/>
    <w:rsid w:val="00C94D2C"/>
    <w:rsid w:val="00C968F0"/>
    <w:rsid w:val="00CC7548"/>
    <w:rsid w:val="00CF20A8"/>
    <w:rsid w:val="00D24C77"/>
    <w:rsid w:val="00D327AF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7059A"/>
    <w:rsid w:val="00F705BC"/>
    <w:rsid w:val="00F931C2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2D81CD-5694-475C-AF82-05C2C81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12829</Words>
  <Characters>73128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Людмила Воронина</cp:lastModifiedBy>
  <cp:revision>30</cp:revision>
  <dcterms:created xsi:type="dcterms:W3CDTF">2022-11-14T17:10:00Z</dcterms:created>
  <dcterms:modified xsi:type="dcterms:W3CDTF">2025-04-08T13:05:00Z</dcterms:modified>
</cp:coreProperties>
</file>