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Pr="00085756">
        <w:t xml:space="preserve">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</w:t>
      </w:r>
      <w:r w:rsidR="005D7C9E">
        <w:t xml:space="preserve">аправление подготовки: </w:t>
      </w:r>
      <w:r w:rsidR="00294F4D">
        <w:t>электроподвижной состав</w:t>
      </w:r>
      <w:bookmarkStart w:id="0" w:name="_GoBack"/>
      <w:bookmarkEnd w:id="0"/>
      <w:r>
        <w:t>)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761F3" w:rsidRPr="00FD32EA" w:rsidRDefault="008761F3" w:rsidP="00EB282F">
      <w:pPr>
        <w:spacing w:line="360" w:lineRule="auto"/>
        <w:ind w:left="192"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18540 Слесарь по ремонту подвижного состава.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16783 Поездной электромеханик;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16856 Помощник машиниста дизель-поезда;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16878 Помощник машиниста тепловоза;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16885 Помощник машиниста электровоза;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16887 Помощник машиниста электропоезда;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17334 Проводник пассажирского вагона;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 xml:space="preserve">1.3.2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lastRenderedPageBreak/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>ПК 1.1 Эксплуатировать подвижной состав железных дорог.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ПК2.3 Оценивать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1.3.3В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ЛР 13 Готовность обучающегося соответствовать ожиданиям работодателей: </w:t>
      </w:r>
      <w:r w:rsidRPr="00FD32EA">
        <w:rPr>
          <w:sz w:val="24"/>
          <w:szCs w:val="24"/>
        </w:rPr>
        <w:lastRenderedPageBreak/>
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E21CD" w:rsidRDefault="00FE21CD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136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2B09AA" w:rsidRDefault="002B09AA" w:rsidP="007D388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42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>
              <w:rPr>
                <w:i/>
                <w:iCs/>
                <w:sz w:val="24"/>
                <w:szCs w:val="24"/>
              </w:rPr>
              <w:t xml:space="preserve">контрольной работы 3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>
              <w:rPr>
                <w:i/>
                <w:iCs/>
                <w:sz w:val="24"/>
                <w:szCs w:val="24"/>
              </w:rPr>
              <w:t xml:space="preserve"> 4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 занятия, самостоятельная работа обучающихся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2B09AA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8761F3" w:rsidRPr="00FD32EA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87440E" w:rsidRDefault="0087440E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944EE5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2B09A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  <w:r w:rsidR="002B09AA">
              <w:rPr>
                <w:b/>
                <w:sz w:val="24"/>
                <w:szCs w:val="24"/>
              </w:rPr>
              <w:t xml:space="preserve">. </w:t>
            </w:r>
            <w:r w:rsidR="002B09AA" w:rsidRPr="00FD32EA">
              <w:rPr>
                <w:b/>
                <w:sz w:val="24"/>
                <w:szCs w:val="24"/>
              </w:rPr>
              <w:t>Плоская система сил</w:t>
            </w:r>
            <w:r w:rsidR="002B0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  <w:r w:rsidR="002B09AA" w:rsidRPr="00FD32EA">
              <w:rPr>
                <w:sz w:val="24"/>
                <w:szCs w:val="24"/>
              </w:rPr>
              <w:t xml:space="preserve"> Аксиомы статики. Сложение двух сил. Связи и их реакции</w:t>
            </w:r>
            <w:r w:rsidR="002B09A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39" w:type="dxa"/>
          </w:tcPr>
          <w:p w:rsidR="008761F3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 Связи и их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AB7AF9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</w:t>
            </w:r>
            <w:r w:rsidR="00944EE5">
              <w:rPr>
                <w:b/>
                <w:bCs/>
                <w:sz w:val="24"/>
                <w:szCs w:val="24"/>
              </w:rPr>
              <w:t>тоятельная работа обучающихся№ 2</w:t>
            </w:r>
          </w:p>
          <w:p w:rsidR="008761F3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</w:t>
            </w:r>
            <w:r>
              <w:rPr>
                <w:bCs/>
                <w:sz w:val="24"/>
                <w:szCs w:val="24"/>
              </w:rPr>
              <w:lastRenderedPageBreak/>
              <w:t>рекомендаций преподавателя.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</w:t>
            </w:r>
            <w:r w:rsidR="00DC3C5D">
              <w:rPr>
                <w:bCs/>
                <w:sz w:val="24"/>
                <w:szCs w:val="24"/>
              </w:rPr>
              <w:t xml:space="preserve"> </w:t>
            </w:r>
            <w:r w:rsidRPr="00FD32EA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39" w:type="dxa"/>
          </w:tcPr>
          <w:p w:rsidR="008761F3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7501BD" w:rsidRPr="00FD32EA" w:rsidTr="005C253D">
        <w:trPr>
          <w:trHeight w:val="20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 </w:t>
            </w:r>
            <w:r w:rsidRPr="00FD32EA">
              <w:rPr>
                <w:b/>
                <w:sz w:val="24"/>
                <w:szCs w:val="24"/>
              </w:rPr>
              <w:t>Центр тяжести тела</w:t>
            </w:r>
          </w:p>
        </w:tc>
        <w:tc>
          <w:tcPr>
            <w:tcW w:w="9102" w:type="dxa"/>
          </w:tcPr>
          <w:p w:rsidR="007501BD" w:rsidRPr="007501BD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AB7AF9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D093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 w:rsidR="007501BD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 w:rsidR="007501BD">
              <w:rPr>
                <w:b/>
                <w:sz w:val="24"/>
                <w:szCs w:val="24"/>
              </w:rPr>
              <w:t>к</w:t>
            </w:r>
            <w:r w:rsidR="007501BD" w:rsidRPr="00FD32EA">
              <w:rPr>
                <w:b/>
                <w:sz w:val="24"/>
                <w:szCs w:val="24"/>
              </w:rPr>
              <w:t>инематика точки</w:t>
            </w:r>
            <w:r w:rsidR="00750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  <w:r w:rsidR="00DC3C5D">
              <w:rPr>
                <w:sz w:val="24"/>
                <w:szCs w:val="24"/>
              </w:rPr>
              <w:t xml:space="preserve"> </w:t>
            </w:r>
            <w:r w:rsidR="004A5A4A"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01BD" w:rsidRPr="00FD32EA" w:rsidTr="005C253D">
        <w:trPr>
          <w:trHeight w:val="624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1.4 </w:t>
            </w: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4A5A4A" w:rsidRP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 Вращательное движение твёрдого тела. Зависимость линейных параметров движения тела от угловых.</w:t>
            </w:r>
            <w:r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944EE5" w:rsidRPr="00FD32EA" w:rsidRDefault="00944EE5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D32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Основные понятия и </w:t>
            </w:r>
            <w:r w:rsidRPr="00FD32EA">
              <w:rPr>
                <w:b/>
                <w:sz w:val="24"/>
                <w:szCs w:val="24"/>
              </w:rPr>
              <w:lastRenderedPageBreak/>
              <w:t>аксиомы динамики.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понятия и аксиомы динамики. Сила инерции при поступательном </w:t>
            </w:r>
            <w:r w:rsidRPr="00FD32EA">
              <w:rPr>
                <w:sz w:val="24"/>
                <w:szCs w:val="24"/>
              </w:rPr>
              <w:lastRenderedPageBreak/>
              <w:t>движении. Сила инерции при вращательном движении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Метод кинетостатики. Определение параметров движения с помощью метода кинетостатики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87440E" w:rsidRDefault="0087440E" w:rsidP="006D2010">
            <w:pPr>
              <w:jc w:val="center"/>
              <w:rPr>
                <w:b/>
                <w:sz w:val="24"/>
                <w:szCs w:val="24"/>
              </w:rPr>
            </w:pPr>
            <w:r w:rsidRPr="0087440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944EE5" w:rsidRPr="00FD32EA" w:rsidRDefault="00944EE5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944EE5" w:rsidRPr="00FD32EA" w:rsidRDefault="00944EE5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Pr="00FD32EA" w:rsidRDefault="00944EE5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положения курса сопротивление материалов. Деформации упругие и пластические. Основные гипотезы и допущения. Метод сечений. Виды нагружений. Напряжения.</w:t>
            </w:r>
          </w:p>
        </w:tc>
        <w:tc>
          <w:tcPr>
            <w:tcW w:w="1339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388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  <w:r w:rsidR="009563FE" w:rsidRPr="00FD32EA">
              <w:rPr>
                <w:sz w:val="24"/>
                <w:szCs w:val="24"/>
              </w:rPr>
              <w:t xml:space="preserve"> 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 w:rsidR="009563FE"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440E" w:rsidRPr="0087440E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 w:rsidR="00001C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9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9563FE">
            <w:pPr>
              <w:tabs>
                <w:tab w:val="left" w:pos="19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  <w:r w:rsidR="009563F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Изгиб, основные понятия и определения. </w:t>
            </w:r>
            <w:r w:rsidR="00D12E6F" w:rsidRPr="00FD32EA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9563FE" w:rsidRPr="00FD32EA">
              <w:rPr>
                <w:sz w:val="24"/>
                <w:szCs w:val="24"/>
              </w:rPr>
              <w:t xml:space="preserve"> Проектный расчёт на прочность при изгибе. Условие жёсткости при изгибе.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1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9563FE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2.6 </w:t>
            </w:r>
            <w:r w:rsidRPr="00FD32EA">
              <w:rPr>
                <w:b/>
                <w:bCs/>
                <w:sz w:val="24"/>
                <w:szCs w:val="24"/>
              </w:rPr>
              <w:t>Прочность при динамических нагрузках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FD32EA">
              <w:rPr>
                <w:b/>
                <w:bCs/>
                <w:sz w:val="24"/>
                <w:szCs w:val="24"/>
              </w:rPr>
              <w:t>Устойчивость сжатых стержней</w:t>
            </w:r>
          </w:p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Default="00944EE5" w:rsidP="00B31B37">
            <w:pPr>
              <w:rPr>
                <w:sz w:val="24"/>
                <w:szCs w:val="24"/>
              </w:rPr>
            </w:pPr>
          </w:p>
          <w:p w:rsidR="009563FE" w:rsidRPr="00FD32EA" w:rsidRDefault="009563FE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01CB5">
              <w:rPr>
                <w:b/>
                <w:bCs/>
                <w:sz w:val="24"/>
                <w:szCs w:val="24"/>
              </w:rPr>
              <w:t>№1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  <w:r w:rsidR="00001CB5">
              <w:rPr>
                <w:b/>
                <w:bCs/>
                <w:sz w:val="24"/>
                <w:szCs w:val="24"/>
              </w:rPr>
              <w:t xml:space="preserve"> </w:t>
            </w:r>
            <w:r w:rsidR="007501BD"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563FE" w:rsidRPr="00FD32EA" w:rsidRDefault="00ED774C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3C649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944EE5" w:rsidRPr="00944EE5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4EE5">
              <w:rPr>
                <w:b/>
                <w:sz w:val="24"/>
                <w:szCs w:val="24"/>
              </w:rPr>
              <w:t xml:space="preserve">Содержание учебного материала. </w:t>
            </w:r>
          </w:p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3C6491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ED774C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774C">
              <w:rPr>
                <w:sz w:val="24"/>
                <w:szCs w:val="24"/>
              </w:rPr>
              <w:t>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 xml:space="preserve">обучающихся </w:t>
            </w:r>
            <w:r w:rsidRPr="00AB7AF9">
              <w:rPr>
                <w:b/>
                <w:bCs/>
                <w:sz w:val="24"/>
                <w:szCs w:val="24"/>
              </w:rPr>
              <w:t xml:space="preserve">№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17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Виды разрушения зубьев. Материалы зубчатых колёс. Основные параметры зубчатого зацепления.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303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</w:t>
            </w:r>
            <w:r>
              <w:rPr>
                <w:bCs/>
                <w:sz w:val="24"/>
                <w:szCs w:val="24"/>
              </w:rPr>
              <w:lastRenderedPageBreak/>
              <w:t>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AB7AF9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</w:t>
            </w:r>
            <w:r w:rsidR="007501BD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56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56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926500">
        <w:trPr>
          <w:trHeight w:val="2484"/>
        </w:trPr>
        <w:tc>
          <w:tcPr>
            <w:tcW w:w="2670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  <w:p w:rsidR="0087440E" w:rsidRPr="00FD32EA" w:rsidRDefault="0087440E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106"/>
        </w:trPr>
        <w:tc>
          <w:tcPr>
            <w:tcW w:w="2670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Аудиторная нагрузка</w:t>
            </w:r>
            <w:r w:rsidR="008761F3" w:rsidRPr="00FD32EA">
              <w:rPr>
                <w:b/>
                <w:sz w:val="24"/>
                <w:szCs w:val="24"/>
              </w:rPr>
              <w:t>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350C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1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4EE5" w:rsidRDefault="00944EE5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модели, макеты (редукторы, зубчатые колеса, вал, модели: ременной, цепной, зубчатой передач, модель кривошипо - ползунного механизма, модели пространственной системы сил 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</w:t>
      </w:r>
      <w:r w:rsidR="003C6491">
        <w:rPr>
          <w:bCs/>
          <w:sz w:val="24"/>
          <w:szCs w:val="24"/>
        </w:rPr>
        <w:t xml:space="preserve">компьютер, </w:t>
      </w:r>
      <w:r w:rsidRPr="00FD32EA">
        <w:rPr>
          <w:bCs/>
          <w:sz w:val="24"/>
          <w:szCs w:val="24"/>
        </w:rPr>
        <w:t xml:space="preserve">проектор 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 :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r w:rsidRPr="00FD32EA">
        <w:rPr>
          <w:bCs/>
          <w:sz w:val="24"/>
          <w:szCs w:val="24"/>
        </w:rPr>
        <w:t>Зиомковский,В.М.,Техническая механика: учебное пособие/В.М. Зиомковский,И.В. Троицкий.-М.:Издательство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1 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 xml:space="preserve">2Эрдеди, А.А., Теория механизмов и детали машин : учебное пособие / А.А. Эрдеди, Н.А. Эрдеди. — Москва :КноРус,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350C2F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350C2F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4  А.Н. Тарских Основы технической механики - электронный учебник 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350C2F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Контрольи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обучающимися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1.1 Эксплуатировать подвижной состав </w:t>
            </w:r>
            <w:r w:rsidR="00896E17" w:rsidRPr="00D14252">
              <w:rPr>
                <w:sz w:val="24"/>
                <w:szCs w:val="24"/>
              </w:rPr>
              <w:lastRenderedPageBreak/>
              <w:t>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собственной и чужой безопасности, в том числе </w:t>
            </w:r>
            <w:r w:rsidRPr="00355D8E">
              <w:lastRenderedPageBreak/>
              <w:t>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</w:t>
            </w:r>
            <w:r w:rsidRPr="00186094">
              <w:lastRenderedPageBreak/>
              <w:t>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 xml:space="preserve">Обладает навыками эффективного взаимодействия и </w:t>
            </w:r>
            <w:r w:rsidRPr="00186094">
              <w:lastRenderedPageBreak/>
              <w:t>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</w:t>
            </w:r>
            <w:r w:rsidRPr="00186094">
              <w:lastRenderedPageBreak/>
              <w:t>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ПК2.3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2F" w:rsidRDefault="00350C2F" w:rsidP="001312E1">
      <w:r>
        <w:separator/>
      </w:r>
    </w:p>
  </w:endnote>
  <w:endnote w:type="continuationSeparator" w:id="0">
    <w:p w:rsidR="00350C2F" w:rsidRDefault="00350C2F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94F4D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2F" w:rsidRDefault="00350C2F" w:rsidP="001312E1">
      <w:r>
        <w:separator/>
      </w:r>
    </w:p>
  </w:footnote>
  <w:footnote w:type="continuationSeparator" w:id="0">
    <w:p w:rsidR="00350C2F" w:rsidRDefault="00350C2F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9F"/>
    <w:rsid w:val="0000087B"/>
    <w:rsid w:val="00001CB5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24C9B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535"/>
    <w:rsid w:val="001A3754"/>
    <w:rsid w:val="001A68FB"/>
    <w:rsid w:val="001A7161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94F4D"/>
    <w:rsid w:val="002B09AA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0C2F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C6491"/>
    <w:rsid w:val="003D01E5"/>
    <w:rsid w:val="003D33BF"/>
    <w:rsid w:val="003D719A"/>
    <w:rsid w:val="003E19FD"/>
    <w:rsid w:val="003E6454"/>
    <w:rsid w:val="003F5971"/>
    <w:rsid w:val="003F7395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A4A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D7C9E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1BD"/>
    <w:rsid w:val="00750F2B"/>
    <w:rsid w:val="007524F1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440E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4EE5"/>
    <w:rsid w:val="00946EAE"/>
    <w:rsid w:val="009527B9"/>
    <w:rsid w:val="00955709"/>
    <w:rsid w:val="00955F96"/>
    <w:rsid w:val="009563FE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B7AF9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01EB3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5847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3C5D"/>
    <w:rsid w:val="00DC7969"/>
    <w:rsid w:val="00DD093B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D774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21CD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E6E6D3-3476-4EE5-90E1-D9A3A89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uiPriority w:val="99"/>
    <w:semiHidden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7617</Words>
  <Characters>43423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98</cp:revision>
  <cp:lastPrinted>2020-02-07T05:05:00Z</cp:lastPrinted>
  <dcterms:created xsi:type="dcterms:W3CDTF">2012-10-26T14:09:00Z</dcterms:created>
  <dcterms:modified xsi:type="dcterms:W3CDTF">2025-04-24T08:10:00Z</dcterms:modified>
</cp:coreProperties>
</file>