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ayout w:type="fixed"/>
        <w:tblLook w:val="01E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 xml:space="preserve">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(наименование филиала/структурного подразделения СамГУПС)</w:t>
      </w:r>
    </w:p>
    <w:p w:rsidR="00780581" w:rsidRPr="00780581" w:rsidRDefault="00F114AC" w:rsidP="00F114A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w:t>
      </w:r>
      <w:r w:rsidR="00F87E57">
        <w:rPr>
          <w:rFonts w:ascii="Times New Roman" w:eastAsia="Calibri" w:hAnsi="Times New Roman" w:cs="Times New Roman"/>
          <w:b/>
          <w:sz w:val="28"/>
          <w:szCs w:val="28"/>
        </w:rPr>
        <w:t xml:space="preserve"> </w:t>
      </w:r>
      <w:r w:rsidR="00780581" w:rsidRPr="00780581">
        <w:rPr>
          <w:rFonts w:ascii="Times New Roman" w:eastAsia="Calibri" w:hAnsi="Times New Roman" w:cs="Times New Roman"/>
          <w:b/>
          <w:sz w:val="28"/>
          <w:szCs w:val="28"/>
        </w:rPr>
        <w:t>202</w:t>
      </w:r>
      <w:r w:rsidR="00F87E57">
        <w:rPr>
          <w:rFonts w:ascii="Times New Roman" w:eastAsia="Calibri" w:hAnsi="Times New Roman" w:cs="Times New Roman"/>
          <w:b/>
          <w:sz w:val="28"/>
          <w:szCs w:val="28"/>
        </w:rPr>
        <w:t>1</w:t>
      </w:r>
      <w:r w:rsidR="00780581" w:rsidRPr="00780581">
        <w:rPr>
          <w:rFonts w:ascii="Times New Roman" w:eastAsia="Calibri" w:hAnsi="Times New Roman" w:cs="Times New Roman"/>
          <w:b/>
          <w:sz w:val="28"/>
          <w:szCs w:val="28"/>
        </w:rPr>
        <w:t xml:space="preserve"> – 202</w:t>
      </w:r>
      <w:r w:rsidR="00F87E57">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по</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F87E57" w:rsidRDefault="00F87E5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F87E57">
        <w:rPr>
          <w:rFonts w:ascii="Times New Roman" w:eastAsia="Calibri" w:hAnsi="Times New Roman" w:cs="Times New Roman"/>
          <w:sz w:val="28"/>
          <w:szCs w:val="28"/>
        </w:rPr>
        <w:t>1</w:t>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bookmarkStart w:id="0" w:name="_GoBack"/>
      <w:bookmarkEnd w:id="0"/>
      <w:r w:rsidRPr="00963497">
        <w:rPr>
          <w:rFonts w:ascii="Times New Roman" w:eastAsia="Times New Roman" w:hAnsi="Times New Roman" w:cs="Times New Roman"/>
          <w:sz w:val="28"/>
          <w:szCs w:val="28"/>
          <w:lang w:eastAsia="ru-RU"/>
        </w:rPr>
        <w:t>СамГУПС</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57202C">
      <w:pPr>
        <w:spacing w:after="0" w:line="360" w:lineRule="auto"/>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  </w:t>
      </w:r>
      <w:r w:rsidR="0057202C">
        <w:rPr>
          <w:rFonts w:ascii="Times New Roman" w:hAnsi="Times New Roman" w:cs="Times New Roman"/>
          <w:sz w:val="28"/>
          <w:szCs w:val="28"/>
        </w:rPr>
        <w:t>08.02.10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науки Российской Федерации от 27.10.2014 № 1391;  и является частью основной профессиональной образовательной программы по специальностям среднего профессионального образования </w:t>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57202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963497">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Default="00780581" w:rsidP="00780581">
      <w:pPr>
        <w:spacing w:after="0" w:line="360" w:lineRule="auto"/>
        <w:rPr>
          <w:rFonts w:ascii="Times New Roman" w:eastAsia="Calibri" w:hAnsi="Times New Roman" w:cs="Times New Roman"/>
          <w:sz w:val="28"/>
          <w:szCs w:val="28"/>
        </w:rPr>
      </w:pPr>
    </w:p>
    <w:p w:rsidR="00F114AC" w:rsidRDefault="00F114A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 в</w:t>
            </w:r>
            <w:r w:rsidR="00F114AC" w:rsidRPr="00F114AC">
              <w:rPr>
                <w:rFonts w:ascii="Times New Roman" w:eastAsia="Times New Roman" w:hAnsi="Times New Roman" w:cs="Times New Roman"/>
                <w:i/>
                <w:color w:val="000000"/>
                <w:sz w:val="28"/>
                <w:szCs w:val="28"/>
                <w:lang w:eastAsia="ru-RU"/>
              </w:rPr>
              <w:t>(указать наименование филиала/структурного подразделения СамГУПС)</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Минобрнауки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3"/>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Директор, заместитель директора по 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780581">
        <w:rPr>
          <w:rFonts w:ascii="Times New Roman" w:eastAsia="Calibri" w:hAnsi="Times New Roman" w:cs="Times New Roman"/>
          <w:sz w:val="28"/>
          <w:szCs w:val="28"/>
        </w:rP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4"/>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1"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5"/>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6"/>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2"/>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Планируемыеличностныерезультаты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входереализацииобразовательнойпрограммы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01Основы проектной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CF37D9" w:rsidP="00CB48D1">
            <w:pPr>
              <w:spacing w:after="0" w:line="235" w:lineRule="exact"/>
              <w:rPr>
                <w:rFonts w:ascii="Times New Roman" w:hAnsi="Times New Roman" w:cs="Times New Roman"/>
              </w:rPr>
            </w:pPr>
            <w:r>
              <w:rPr>
                <w:rFonts w:ascii="Times New Roman" w:hAnsi="Times New Roman" w:cs="Times New Roman"/>
              </w:rPr>
              <w:t>ДУДК.02 Россия – моя история</w:t>
            </w:r>
          </w:p>
        </w:tc>
        <w:tc>
          <w:tcPr>
            <w:tcW w:w="3402" w:type="dxa"/>
          </w:tcPr>
          <w:p w:rsidR="00CB48D1" w:rsidRPr="00553F1F" w:rsidRDefault="00CF37D9" w:rsidP="00CB48D1">
            <w:pPr>
              <w:spacing w:after="0" w:line="240" w:lineRule="auto"/>
              <w:rPr>
                <w:rFonts w:ascii="Times New Roman" w:hAnsi="Times New Roman" w:cs="Times New Roman"/>
                <w:bCs/>
              </w:rPr>
            </w:pPr>
            <w:r>
              <w:rPr>
                <w:rFonts w:ascii="Times New Roman" w:hAnsi="Times New Roman" w:cs="Times New Roman"/>
                <w:bCs/>
              </w:rPr>
              <w:t>5, 8, 15, 17, 18, 24</w:t>
            </w:r>
          </w:p>
        </w:tc>
      </w:tr>
      <w:tr w:rsidR="00CB48D1" w:rsidRPr="00553F1F" w:rsidTr="00F114AC">
        <w:trPr>
          <w:trHeight w:val="197"/>
        </w:trPr>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ОГСЭ.01 Основы философии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2, 7 , 30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ОГСЭ.02 История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ОГСЭ.03 Иностранный язык</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ОГСЭ.05</w:t>
            </w:r>
            <w:r w:rsidR="00CF37D9">
              <w:rPr>
                <w:rFonts w:ascii="Times New Roman" w:hAnsi="Times New Roman" w:cs="Times New Roman"/>
              </w:rPr>
              <w:t>.1</w:t>
            </w:r>
            <w:r w:rsidRPr="00553F1F">
              <w:rPr>
                <w:rFonts w:ascii="Times New Roman" w:hAnsi="Times New Roman" w:cs="Times New Roman"/>
              </w:rPr>
              <w:t xml:space="preserve"> Русский язык и культура речи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CF37D9" w:rsidRPr="00553F1F" w:rsidTr="00F114AC">
        <w:tc>
          <w:tcPr>
            <w:tcW w:w="5920" w:type="dxa"/>
          </w:tcPr>
          <w:p w:rsidR="00CF37D9" w:rsidRPr="00553F1F" w:rsidRDefault="00CF37D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ОГСЭ.05.2 История России</w:t>
            </w:r>
          </w:p>
        </w:tc>
        <w:tc>
          <w:tcPr>
            <w:tcW w:w="3402" w:type="dxa"/>
          </w:tcPr>
          <w:p w:rsidR="00CF37D9" w:rsidRPr="00553F1F" w:rsidRDefault="00945C9C" w:rsidP="00CB48D1">
            <w:pPr>
              <w:spacing w:after="0" w:line="240" w:lineRule="auto"/>
              <w:rPr>
                <w:rFonts w:ascii="Times New Roman" w:hAnsi="Times New Roman" w:cs="Times New Roman"/>
              </w:rPr>
            </w:pPr>
            <w:r>
              <w:rPr>
                <w:rFonts w:ascii="Times New Roman" w:hAnsi="Times New Roman" w:cs="Times New Roman"/>
                <w:bCs/>
              </w:rPr>
              <w:t>5, 8, 15, 17, 18, 24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ЕН.01 Прикладная математика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ЕН.02 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4, 10, 14, 23</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ЕН.03 Экология на железнодорожном транспорте</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CB48D1" w:rsidRPr="00553F1F" w:rsidTr="00F114AC">
        <w:tc>
          <w:tcPr>
            <w:tcW w:w="5920" w:type="dxa"/>
          </w:tcPr>
          <w:p w:rsidR="00CB48D1" w:rsidRPr="00553F1F" w:rsidRDefault="00CB48D1" w:rsidP="00CB48D1">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ОП.04 Метрология, стандартизация и сертификация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ОП.05 Строительные материалы и изделия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ОП.06 Общий курс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ОП.07 Геодезия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left"/>
              <w:rPr>
                <w:rFonts w:ascii="Times New Roman" w:hAnsi="Times New Roman" w:cs="Times New Roman"/>
              </w:rPr>
            </w:pPr>
            <w:r w:rsidRPr="00553F1F">
              <w:rPr>
                <w:rFonts w:ascii="Times New Roman" w:hAnsi="Times New Roman" w:cs="Times New Roman"/>
              </w:rPr>
              <w:t>ОП.08 Информационные технологии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ОП.09 Правовое обеспечение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ОП.10 Охрана труда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ОП.11 Безопасность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ОП.12 Техническая эксплуатация железных дорог и безопасность движения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ОП.13.1 Транспортная безопасность</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ОП.13.2 Цифровая железная дорога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10, 13, 25, 27, 29</w:t>
            </w:r>
          </w:p>
        </w:tc>
      </w:tr>
      <w:tr w:rsidR="00CB48D1" w:rsidRPr="00553F1F" w:rsidTr="00F114AC">
        <w:trPr>
          <w:trHeight w:val="451"/>
        </w:trPr>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ПМ.03 Устройство, надзор и техническое состояние железнодорожного пути и искусственных сооружений</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ПМ.04  Участие в организации деятельности структурного подразделения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ПМ.05 Выполнение работ по рабочей профессии 14668 Монтер пути / 18401 Сигналист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 xml:space="preserve">Преддипломная практика </w:t>
            </w:r>
          </w:p>
          <w:p w:rsidR="00CB48D1" w:rsidRPr="00553F1F" w:rsidRDefault="00CB48D1" w:rsidP="00CB48D1">
            <w:pPr>
              <w:spacing w:after="0" w:line="240" w:lineRule="auto"/>
              <w:rPr>
                <w:rFonts w:ascii="Times New Roman" w:hAnsi="Times New Roman" w:cs="Times New Roman"/>
                <w:b/>
                <w:bCs/>
              </w:rPr>
            </w:pP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w:t>
      </w:r>
      <w:r w:rsidRPr="00780581">
        <w:rPr>
          <w:rFonts w:ascii="Times New Roman" w:eastAsia="Calibri" w:hAnsi="Times New Roman" w:cs="Times New Roman"/>
          <w:sz w:val="28"/>
          <w:szCs w:val="28"/>
        </w:rPr>
        <w:lastRenderedPageBreak/>
        <w:t>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в большей степени строится на взаимодействии обучающегося с его окружением, поэтому сочетание разных форм </w:t>
      </w:r>
      <w:r w:rsidRPr="00780581">
        <w:rPr>
          <w:rFonts w:ascii="Times New Roman" w:eastAsia="Calibri" w:hAnsi="Times New Roman" w:cs="Times New Roman"/>
          <w:sz w:val="28"/>
          <w:szCs w:val="28"/>
        </w:rPr>
        <w:lastRenderedPageBreak/>
        <w:t>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Локальные нормативные акты по организации воспитательного процесса в филиале СамГУПС</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w:t>
      </w:r>
      <w:r w:rsidRPr="00780581">
        <w:rPr>
          <w:rFonts w:ascii="Times New Roman" w:eastAsia="Calibri" w:hAnsi="Times New Roman" w:cs="Times New Roman"/>
          <w:kern w:val="32"/>
          <w:sz w:val="28"/>
          <w:szCs w:val="28"/>
        </w:rPr>
        <w:lastRenderedPageBreak/>
        <w:t>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СамГУПС досуговая деятельность организована по следующим направлениям:</w:t>
      </w:r>
      <w:r w:rsidR="00945C9C">
        <w:rPr>
          <w:rFonts w:ascii="Times New Roman" w:eastAsia="Times New Roman" w:hAnsi="Times New Roman" w:cs="Times New Roman"/>
          <w:sz w:val="28"/>
          <w:szCs w:val="28"/>
          <w:lang w:eastAsia="ru-RU"/>
        </w:rPr>
        <w:t>________________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СамГУПС представлена на сайте </w:t>
      </w:r>
      <w:r w:rsidR="00945C9C">
        <w:rPr>
          <w:rFonts w:ascii="Times New Roman" w:eastAsia="Calibri" w:hAnsi="Times New Roman" w:cs="Times New Roman"/>
          <w:kern w:val="32"/>
          <w:sz w:val="28"/>
          <w:szCs w:val="28"/>
        </w:rPr>
        <w:t>_________________________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lastRenderedPageBreak/>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«Мы Вместе» (волонтерство)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B8" w:rsidRDefault="007D53B8" w:rsidP="00780581">
      <w:pPr>
        <w:spacing w:after="0" w:line="240" w:lineRule="auto"/>
      </w:pPr>
      <w:r>
        <w:separator/>
      </w:r>
    </w:p>
  </w:endnote>
  <w:endnote w:type="continuationSeparator" w:id="1">
    <w:p w:rsidR="007D53B8" w:rsidRDefault="007D53B8" w:rsidP="00780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B8" w:rsidRDefault="007D53B8" w:rsidP="00780581">
      <w:pPr>
        <w:spacing w:after="0" w:line="240" w:lineRule="auto"/>
      </w:pPr>
      <w:r>
        <w:separator/>
      </w:r>
    </w:p>
  </w:footnote>
  <w:footnote w:type="continuationSeparator" w:id="1">
    <w:p w:rsidR="007D53B8" w:rsidRDefault="007D53B8" w:rsidP="00780581">
      <w:pPr>
        <w:spacing w:after="0" w:line="240" w:lineRule="auto"/>
      </w:pPr>
      <w:r>
        <w:continuationSeparator/>
      </w:r>
    </w:p>
  </w:footnote>
  <w:footnote w:id="2">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4">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570A"/>
    <w:rsid w:val="000D1E3F"/>
    <w:rsid w:val="002B11E9"/>
    <w:rsid w:val="002E7E31"/>
    <w:rsid w:val="0039559D"/>
    <w:rsid w:val="00406367"/>
    <w:rsid w:val="0057202C"/>
    <w:rsid w:val="006226A8"/>
    <w:rsid w:val="00671A3E"/>
    <w:rsid w:val="006762C2"/>
    <w:rsid w:val="00690EF7"/>
    <w:rsid w:val="00780581"/>
    <w:rsid w:val="007D53B8"/>
    <w:rsid w:val="0083055E"/>
    <w:rsid w:val="00945C9C"/>
    <w:rsid w:val="00963497"/>
    <w:rsid w:val="00A01B03"/>
    <w:rsid w:val="00AA7961"/>
    <w:rsid w:val="00AB1CC3"/>
    <w:rsid w:val="00AE0171"/>
    <w:rsid w:val="00B1570A"/>
    <w:rsid w:val="00BF64E3"/>
    <w:rsid w:val="00C32DD1"/>
    <w:rsid w:val="00CB48D1"/>
    <w:rsid w:val="00CF37D9"/>
    <w:rsid w:val="00D37F60"/>
    <w:rsid w:val="00D94ED9"/>
    <w:rsid w:val="00E14D7B"/>
    <w:rsid w:val="00E961F7"/>
    <w:rsid w:val="00F114AC"/>
    <w:rsid w:val="00F137F0"/>
    <w:rsid w:val="00F87E57"/>
    <w:rsid w:val="00FB6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03"/>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7295-5E2E-4017-9610-2AF70C04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Zverdvd.org</cp:lastModifiedBy>
  <cp:revision>14</cp:revision>
  <dcterms:created xsi:type="dcterms:W3CDTF">2022-08-15T18:37:00Z</dcterms:created>
  <dcterms:modified xsi:type="dcterms:W3CDTF">2025-01-29T09:30:00Z</dcterms:modified>
</cp:coreProperties>
</file>