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cs="Times New Roman" w:ascii="Times New Roman" w:hAnsi="Times New Roman"/>
          <w:sz w:val="24"/>
        </w:rPr>
        <w:t>Приложение 24</w:t>
      </w:r>
    </w:p>
    <w:p>
      <w:pPr>
        <w:pStyle w:val="Normal"/>
        <w:spacing w:before="0" w:after="0"/>
        <w:jc w:val="right"/>
        <w:rPr/>
      </w:pPr>
      <w:r>
        <w:rPr>
          <w:rFonts w:cs="Times New Roman" w:ascii="Times New Roman" w:hAnsi="Times New Roman"/>
          <w:sz w:val="24"/>
        </w:rPr>
        <w:t xml:space="preserve">к ОПОП-ППССЗ по специальности 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23.02.01  Организация перевозок и управление 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на транспорте (по видам)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РАБОЧАЯ ПРОГРАММА УЧЕБНОЙ ДИСЦИПЛИНЫ</w:t>
      </w:r>
      <w:r>
        <w:rPr>
          <w:rStyle w:val="FootnoteCharacters"/>
          <w:rStyle w:val="FootnoteAnchor"/>
          <w:rFonts w:cs="Times New Roman" w:ascii="Times New Roman" w:hAnsi="Times New Roman"/>
          <w:b/>
          <w:sz w:val="24"/>
        </w:rPr>
        <w:footnoteReference w:id="2"/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7"/>
        <w:rPr>
          <w:rFonts w:ascii="Times New Roman" w:hAnsi="Times New Roman" w:eastAsia="Times New Roman" w:cs="Times New Roman"/>
          <w:b/>
          <w:b/>
          <w:iCs/>
          <w:sz w:val="28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iCs/>
          <w:sz w:val="28"/>
          <w:szCs w:val="36"/>
          <w:lang w:eastAsia="ru-RU"/>
        </w:rPr>
        <w:t>СГ.06 ОСНОВЫ ФИНАНСОВОЙ ГРАМОТНОСТИ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/>
          <w:iCs/>
          <w:sz w:val="28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iCs/>
          <w:sz w:val="28"/>
          <w:szCs w:val="36"/>
          <w:lang w:eastAsia="ru-RU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для специальности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cs="Times New Roman" w:ascii="Times New Roman" w:hAnsi="Times New Roman"/>
          <w:sz w:val="28"/>
          <w:szCs w:val="36"/>
        </w:rPr>
        <w:t xml:space="preserve">23.02.01 Организация перевозок и управление на транспорте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cs="Times New Roman" w:ascii="Times New Roman" w:hAnsi="Times New Roman"/>
          <w:sz w:val="28"/>
          <w:szCs w:val="36"/>
        </w:rPr>
        <w:t>(по видам)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i/>
          <w:i/>
          <w:sz w:val="20"/>
          <w:szCs w:val="36"/>
        </w:rPr>
      </w:pPr>
      <w:r>
        <w:rPr>
          <w:rFonts w:cs="Times New Roman" w:ascii="Times New Roman" w:hAnsi="Times New Roman"/>
          <w:i/>
          <w:sz w:val="20"/>
          <w:szCs w:val="36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 xml:space="preserve">Базовая подготовка 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>среднего профессионального образования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 xml:space="preserve">(год начала подготовки: </w:t>
      </w:r>
      <w:r>
        <w:rPr>
          <w:rFonts w:cs="Times New Roman" w:ascii="Times New Roman" w:hAnsi="Times New Roman"/>
          <w:b/>
          <w:i/>
          <w:sz w:val="24"/>
        </w:rPr>
        <w:t>2024</w:t>
      </w:r>
      <w:r>
        <w:rPr>
          <w:rFonts w:cs="Times New Roman" w:ascii="Times New Roman" w:hAnsi="Times New Roman"/>
          <w:i/>
          <w:sz w:val="24"/>
        </w:rPr>
        <w:t>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/>
        <w:t>СОДЕРЖАНИЕ</w:t>
      </w:r>
    </w:p>
    <w:tbl>
      <w:tblPr>
        <w:tblW w:w="9497" w:type="dxa"/>
        <w:jc w:val="left"/>
        <w:tblInd w:w="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6"/>
        <w:gridCol w:w="1971"/>
      </w:tblGrid>
      <w:tr>
        <w:trPr/>
        <w:tc>
          <w:tcPr>
            <w:tcW w:w="7526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ind w:firstLine="709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97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СТР.</w:t>
            </w:r>
          </w:p>
        </w:tc>
      </w:tr>
      <w:tr>
        <w:trPr/>
        <w:tc>
          <w:tcPr>
            <w:tcW w:w="7526" w:type="dxa"/>
            <w:tcBorders/>
          </w:tcPr>
          <w:p>
            <w:pPr>
              <w:pStyle w:val="Style21"/>
              <w:numPr>
                <w:ilvl w:val="0"/>
                <w:numId w:val="2"/>
              </w:numPr>
              <w:tabs>
                <w:tab w:val="clear" w:pos="708"/>
                <w:tab w:val="left" w:pos="986" w:leader="none"/>
              </w:tabs>
              <w:spacing w:lineRule="auto" w:line="240" w:before="0" w:after="0"/>
              <w:ind w:left="567" w:hanging="0"/>
              <w:contextualSpacing w:val="false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>
            <w:pPr>
              <w:pStyle w:val="Normal"/>
              <w:spacing w:lineRule="auto" w:line="240" w:before="0" w:after="0"/>
              <w:ind w:left="567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971" w:type="dxa"/>
            <w:tcBorders/>
          </w:tcPr>
          <w:p>
            <w:pPr>
              <w:pStyle w:val="Normal"/>
              <w:spacing w:lineRule="auto" w:line="240" w:before="0" w:after="0"/>
              <w:ind w:left="21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7526" w:type="dxa"/>
            <w:tcBorders/>
          </w:tcPr>
          <w:p>
            <w:pPr>
              <w:pStyle w:val="Style21"/>
              <w:numPr>
                <w:ilvl w:val="0"/>
                <w:numId w:val="2"/>
              </w:numPr>
              <w:tabs>
                <w:tab w:val="clear" w:pos="708"/>
                <w:tab w:val="left" w:pos="972" w:leader="none"/>
              </w:tabs>
              <w:spacing w:lineRule="auto" w:line="240" w:before="0" w:after="0"/>
              <w:ind w:left="567" w:hanging="0"/>
              <w:contextualSpacing w:val="false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>
            <w:pPr>
              <w:pStyle w:val="Normal"/>
              <w:spacing w:lineRule="auto" w:line="240" w:before="0" w:after="0"/>
              <w:ind w:left="567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971" w:type="dxa"/>
            <w:tcBorders/>
          </w:tcPr>
          <w:p>
            <w:pPr>
              <w:pStyle w:val="Normal"/>
              <w:spacing w:lineRule="auto" w:line="240" w:before="0" w:after="0"/>
              <w:ind w:left="21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>
        <w:trPr>
          <w:trHeight w:val="670" w:hRule="atLeast"/>
        </w:trPr>
        <w:tc>
          <w:tcPr>
            <w:tcW w:w="7526" w:type="dxa"/>
            <w:tcBorders/>
          </w:tcPr>
          <w:p>
            <w:pPr>
              <w:pStyle w:val="Style21"/>
              <w:numPr>
                <w:ilvl w:val="0"/>
                <w:numId w:val="2"/>
              </w:numPr>
              <w:tabs>
                <w:tab w:val="clear" w:pos="708"/>
                <w:tab w:val="left" w:pos="986" w:leader="none"/>
              </w:tabs>
              <w:spacing w:lineRule="auto" w:line="240" w:before="0" w:after="0"/>
              <w:ind w:left="567" w:hanging="0"/>
              <w:contextualSpacing w:val="false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>
            <w:pPr>
              <w:pStyle w:val="Normal"/>
              <w:spacing w:lineRule="auto" w:line="240" w:before="0" w:after="0"/>
              <w:ind w:left="567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971" w:type="dxa"/>
            <w:tcBorders/>
          </w:tcPr>
          <w:p>
            <w:pPr>
              <w:pStyle w:val="Normal"/>
              <w:spacing w:lineRule="auto" w:line="240" w:before="0" w:after="0"/>
              <w:ind w:left="21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</w:tr>
      <w:tr>
        <w:trPr/>
        <w:tc>
          <w:tcPr>
            <w:tcW w:w="7526" w:type="dxa"/>
            <w:tcBorders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644" w:leader="none"/>
                <w:tab w:val="left" w:pos="972" w:leader="none"/>
              </w:tabs>
              <w:spacing w:lineRule="auto" w:line="240" w:before="0" w:after="0"/>
              <w:ind w:left="567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>
            <w:pPr>
              <w:pStyle w:val="Normal"/>
              <w:spacing w:lineRule="auto" w:line="240" w:before="0" w:after="0"/>
              <w:ind w:left="567" w:hanging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971" w:type="dxa"/>
            <w:tcBorders/>
          </w:tcPr>
          <w:p>
            <w:pPr>
              <w:pStyle w:val="Normal"/>
              <w:spacing w:lineRule="auto" w:line="240" w:before="0" w:after="0"/>
              <w:ind w:left="21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7526" w:type="dxa"/>
            <w:tcBorders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644" w:leader="none"/>
                <w:tab w:val="left" w:pos="972" w:leader="none"/>
              </w:tabs>
              <w:spacing w:lineRule="auto" w:line="240" w:before="0" w:after="0"/>
              <w:ind w:left="567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ПЕРЕЧЕНЬ ИСПОЛЬЗУЕМЫХ МЕТОДОВ  ОБУЧЕНИЯ</w:t>
            </w:r>
          </w:p>
        </w:tc>
        <w:tc>
          <w:tcPr>
            <w:tcW w:w="1971" w:type="dxa"/>
            <w:tcBorders/>
          </w:tcPr>
          <w:p>
            <w:pPr>
              <w:pStyle w:val="Normal"/>
              <w:spacing w:lineRule="auto" w:line="240" w:before="0" w:after="0"/>
              <w:ind w:left="21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</w:tr>
    </w:tbl>
    <w:p>
      <w:pPr>
        <w:pStyle w:val="Normal"/>
        <w:spacing w:lineRule="auto" w:line="240" w:before="0" w:after="0"/>
        <w:ind w:left="567" w:firstLine="284"/>
        <w:jc w:val="center"/>
        <w:rPr/>
      </w:pPr>
      <w:r>
        <w:br w:type="page"/>
      </w:r>
      <w:r>
        <w:rPr>
          <w:rFonts w:cs="Times New Roman" w:ascii="Times New Roman" w:hAnsi="Times New Roman"/>
          <w:b/>
          <w:bCs/>
          <w:sz w:val="24"/>
          <w:szCs w:val="24"/>
        </w:rPr>
        <w:t>1 ПАСПОРТ РАБОЧЕЙ ПРОГРАММЫ УЧЕБНОЙ ДИСЦИПЛИНЫ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СГ.06 ОСНОВЫ ФИНАНСОВОЙ ГРАМОТНОСТИ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18"/>
          <w:szCs w:val="24"/>
        </w:rPr>
      </w:pPr>
      <w:r>
        <w:rPr>
          <w:rFonts w:cs="Times New Roman" w:ascii="Times New Roman" w:hAnsi="Times New Roman"/>
          <w:b/>
          <w:bCs/>
          <w:sz w:val="18"/>
          <w:szCs w:val="24"/>
        </w:rPr>
      </w:r>
    </w:p>
    <w:p>
      <w:pPr>
        <w:pStyle w:val="Style21"/>
        <w:numPr>
          <w:ilvl w:val="1"/>
          <w:numId w:val="6"/>
        </w:numPr>
        <w:spacing w:lineRule="auto" w:line="240" w:before="0" w:after="0"/>
        <w:contextualSpacing w:val="false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Область применения рабочей программы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4"/>
          <w:szCs w:val="24"/>
        </w:rPr>
        <w:t>Рабочая программа учебной дисциплины СГ.06 Основы финансовой грамотности является обязательной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специальности 23.02.01 Организация перевозок и управление на транспорте (по видам)</w:t>
      </w:r>
      <w:r>
        <w:rPr>
          <w:rFonts w:cs="Times New Roman" w:ascii="Times New Roman" w:hAnsi="Times New Roman"/>
          <w:spacing w:val="-2"/>
          <w:sz w:val="24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cs="Times New Roman" w:ascii="Times New Roman" w:hAnsi="Times New Roman"/>
          <w:spacing w:val="-4"/>
          <w:sz w:val="24"/>
          <w:szCs w:val="24"/>
        </w:rPr>
        <w:t>Рабочая программа учебной дисциплины может быть использована в профессиональной подготовке, переподготовке и повышении квалификации рабочих и служащих железнодорожного транспорта по профессиям: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15894 Оператор поста централизации;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18401 Сигналист;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17244 Приемосдатчик груза и багажа;</w:t>
      </w:r>
    </w:p>
    <w:p>
      <w:pPr>
        <w:pStyle w:val="Normal"/>
        <w:tabs>
          <w:tab w:val="clear" w:pos="708"/>
          <w:tab w:val="left" w:pos="1418" w:leader="none"/>
        </w:tabs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25337</w:t>
        <w:tab/>
        <w:t>Оператор по обработке перевозочных документов;</w:t>
      </w:r>
    </w:p>
    <w:p>
      <w:pPr>
        <w:pStyle w:val="Normal"/>
        <w:tabs>
          <w:tab w:val="clear" w:pos="708"/>
          <w:tab w:val="left" w:pos="1418" w:leader="none"/>
        </w:tabs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18726</w:t>
        <w:tab/>
        <w:t>Составитель поездов;</w:t>
      </w:r>
    </w:p>
    <w:p>
      <w:pPr>
        <w:pStyle w:val="Normal"/>
        <w:tabs>
          <w:tab w:val="clear" w:pos="708"/>
          <w:tab w:val="left" w:pos="1418" w:leader="none"/>
        </w:tabs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16033</w:t>
        <w:tab/>
        <w:t>Оператор сортировочной горки;</w:t>
      </w:r>
    </w:p>
    <w:p>
      <w:pPr>
        <w:pStyle w:val="Normal"/>
        <w:tabs>
          <w:tab w:val="clear" w:pos="708"/>
          <w:tab w:val="left" w:pos="1418" w:leader="none"/>
        </w:tabs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25354</w:t>
        <w:tab/>
        <w:t>Оператор при дежурном по станции.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16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16"/>
          <w:szCs w:val="24"/>
        </w:rPr>
      </w:r>
    </w:p>
    <w:p>
      <w:pPr>
        <w:pStyle w:val="Normal"/>
        <w:spacing w:lineRule="auto" w:line="240" w:before="0" w:after="0"/>
        <w:ind w:firstLine="709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Дисциплина входит в социально-гуманитарный цикл.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1.3.1</w:t>
      </w:r>
      <w:r>
        <w:rPr>
          <w:rFonts w:cs="Times New Roman" w:ascii="Times New Roman" w:hAnsi="Times New Roman"/>
          <w:sz w:val="24"/>
          <w:szCs w:val="24"/>
        </w:rPr>
        <w:t xml:space="preserve"> В результате освоения учебной дисциплины обучающийся должен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знать:</w:t>
      </w:r>
    </w:p>
    <w:p>
      <w:pPr>
        <w:pStyle w:val="Normal"/>
        <w:shd w:fill="FFFFFF" w:val="clear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- актуальный профессиональный и социальный контекст, в котором приходится работать и жить; </w:t>
      </w:r>
    </w:p>
    <w:p>
      <w:pPr>
        <w:pStyle w:val="Normal"/>
        <w:shd w:fill="FFFFFF" w:val="clear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- основные источники информации и ресурсы для решения задач в профессиональном и социальном контексте;</w:t>
      </w:r>
    </w:p>
    <w:p>
      <w:pPr>
        <w:pStyle w:val="Normal"/>
        <w:shd w:fill="FFFFFF" w:val="clear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- алгоритмы выполнения работ в профессиональной и смежных областях; </w:t>
      </w:r>
    </w:p>
    <w:p>
      <w:pPr>
        <w:pStyle w:val="Normal"/>
        <w:shd w:fill="FFFFFF" w:val="clear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- этапы планирования для решения задач; </w:t>
      </w:r>
    </w:p>
    <w:p>
      <w:pPr>
        <w:pStyle w:val="Normal"/>
        <w:shd w:fill="FFFFFF" w:val="clear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- критерии оценки результатов принятого решения в профессиональной деятельности, для личностного развития и достижения финансового благополучия;</w:t>
      </w:r>
    </w:p>
    <w:p>
      <w:pPr>
        <w:pStyle w:val="Normal"/>
        <w:shd w:fill="FFFFFF" w:val="clear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- информационные источники, применяемые в профессиональной деятельности; для решения задач личностного развития и финансового благополучия; </w:t>
      </w:r>
    </w:p>
    <w:p>
      <w:pPr>
        <w:pStyle w:val="Normal"/>
        <w:shd w:fill="FFFFFF" w:val="clear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- формат представления результатов поиска информации;</w:t>
      </w:r>
    </w:p>
    <w:p>
      <w:pPr>
        <w:pStyle w:val="Normal"/>
        <w:shd w:fill="FFFFFF" w:val="clear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- возможности использования различных цифровых средств при решении профессиональных задач, задач личностного развития и финансового благополучия;</w:t>
      </w:r>
    </w:p>
    <w:p>
      <w:pPr>
        <w:pStyle w:val="Normal"/>
        <w:shd w:fill="FFFFFF" w:val="clear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- актуальную нормативно-правовую базу, регламентирующую профессиональную деятельность, предпринимательство и личное финансовое планирование; </w:t>
      </w:r>
    </w:p>
    <w:p>
      <w:pPr>
        <w:pStyle w:val="Normal"/>
        <w:shd w:fill="FFFFFF" w:val="clear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- возможные траектории профессионального развития и самообразования;</w:t>
      </w:r>
    </w:p>
    <w:p>
      <w:pPr>
        <w:pStyle w:val="Normal"/>
        <w:shd w:fill="FFFFFF" w:val="clear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- различие между наличными и безналичными платежами, порядок использования их при оплате покупки; </w:t>
      </w:r>
    </w:p>
    <w:p>
      <w:pPr>
        <w:pStyle w:val="Normal"/>
        <w:shd w:fill="FFFFFF" w:val="clear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- понятие инфляции, ее влияние на решение финансовых задач в профессии, личном планировании;</w:t>
      </w:r>
    </w:p>
    <w:p>
      <w:pPr>
        <w:pStyle w:val="Normal"/>
        <w:shd w:fill="FFFFFF" w:val="clear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- понятие иностранной валюты и валютного курса;</w:t>
      </w:r>
    </w:p>
    <w:p>
      <w:pPr>
        <w:pStyle w:val="Normal"/>
        <w:shd w:fill="FFFFFF" w:val="clear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- структуру личных доходов и расходов, правила составления личного и семейного бюджета;</w:t>
      </w:r>
    </w:p>
    <w:p>
      <w:pPr>
        <w:pStyle w:val="Normal"/>
        <w:shd w:fill="FFFFFF" w:val="clear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- особенности различных банковских и страховых продуктов и возможности их использования в профессиональной, предпринимательской деятельности и для управления личными финансами;  </w:t>
      </w:r>
    </w:p>
    <w:p>
      <w:pPr>
        <w:pStyle w:val="Normal"/>
        <w:shd w:fill="FFFFFF" w:val="clear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- базовые характеристики и риски основных финансовых инструментов для предпринимательской деятельности и управления личными финансами;</w:t>
      </w:r>
    </w:p>
    <w:p>
      <w:pPr>
        <w:pStyle w:val="Normal"/>
        <w:shd w:fill="FFFFFF" w:val="clear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- систему и полномочия государственных органов в сферах профессиональной деятельности, предпринимательской деятельности и защиты прав потребителей;</w:t>
      </w:r>
    </w:p>
    <w:p>
      <w:pPr>
        <w:pStyle w:val="Normal"/>
        <w:shd w:fill="FFFFFF" w:val="clear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- особенности работы в малых и больших группах, работы в команде, организации коллективной работы;</w:t>
      </w:r>
    </w:p>
    <w:p>
      <w:pPr>
        <w:pStyle w:val="Normal"/>
        <w:shd w:fill="FFFFFF" w:val="clear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- принципы организации проектной деятельности;</w:t>
      </w:r>
    </w:p>
    <w:p>
      <w:pPr>
        <w:pStyle w:val="Normal"/>
        <w:shd w:fill="FFFFFF" w:val="clear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- принципы взаимодействия в коллективе;</w:t>
      </w:r>
    </w:p>
    <w:p>
      <w:pPr>
        <w:pStyle w:val="Normal"/>
        <w:shd w:fill="FFFFFF" w:val="clear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- правила оформления документов и построения устных сообщений на государственном языке РФ;</w:t>
      </w:r>
    </w:p>
    <w:p>
      <w:pPr>
        <w:pStyle w:val="Normal"/>
        <w:shd w:fill="FFFFFF" w:val="clear"/>
        <w:autoSpaceDE w:val="fals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- правила экологической безопасности; </w:t>
      </w:r>
    </w:p>
    <w:p>
      <w:pPr>
        <w:pStyle w:val="Normal"/>
        <w:shd w:fill="FFFFFF" w:val="clear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- принципы бережливого производства.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уметь: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определять задачу в профессиональном и/или социальном контексте;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выявлять и отбирать информацию, необходимую для решения задачи;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составлять план действий;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определять необходимые ресурсы;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реализовывать составленный план;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- оценивать результат и последствия своих действий (самостоятельно или с помощью наставника);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определять задачи для сбора информации;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планировать процесс поиска и осуществлять выбор необходимых источников информации;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оформлять результаты поиска, применять средства информационных технологий для решения профессиональных задач, задач личностного развития и финансового благополучия;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- использовать различные цифровые средства при решении профессиональных задач, задач личностного развития и финансового благополучия;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определять актуальность нормативно-правовой документации в профессиональной деятельности, для ведения предпринимательской деятельности и личного финансового планирования;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определять и выстраивать траектории профессионального и личностного развития;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осуществлять наличные и безналичные платежи, сравнивать различные способы оплаты товаров и услуг, соблюдать требования финансовой безопасности;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учитывать инфляцию при решении финансовых задач в профессии, личном планировании;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производить расчеты по валютно-обменным операциям;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- планировать личные доходы и расходы, принимать финансовые решения, составлять личный бюджет;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 использовать разнообразие финансовых инструментов для управления личными финансами в целях   достижения финансового благополучия, с учетом финансовой безопасности;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выявлять сильные и слабые стороны бизнес-идеи;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грамотно проводить презентацию идеи открытия собственного дела в области профессиональной деятельности;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определять источники финансирования для реализации бизнес-идеи;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производить основные финансовые расчеты в сферах предпринимательской деятельности и планирования личных финансов;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оценивать финансовые риски, связанные с осуществлением предпринимательской деятельности и планирования личных финансов;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- работать в коллективе и команде;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- взаимодействовать с коллегами, руководством, клиентами, в ходе профессиональной и предпринимательской деятельности;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- грамотно излагать свои мысли, формулировать собственное мнение, обосновывать свою позицию в учебных и практических ситуациях;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проявлять толерантность в коллективе;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- оформлять документы, связанные с профессиональной деятельностью и деловой коммуникацией, на государственном языке РФ;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соблюдать нормы экологической безопасности;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- определять направления ресурсосбережения в рамках профессиональной деятельности по профессии (специальности), осуществлять работу с соблюдением принципов бережливого производства.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1.3.2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>
      <w:pPr>
        <w:pStyle w:val="Normal"/>
        <w:tabs>
          <w:tab w:val="clear" w:pos="708"/>
          <w:tab w:val="left" w:pos="211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общие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 по правовой и  финансовой грамотности в различных жизненных ситуациях;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ОК 04. Эффективно взаимодействовать и работать в коллективе и команде;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 принципы бережливого производства, эффективно действовать в чрезвычайных ситуациях.</w:t>
      </w:r>
    </w:p>
    <w:p>
      <w:pPr>
        <w:pStyle w:val="Normal"/>
        <w:tabs>
          <w:tab w:val="clear" w:pos="708"/>
          <w:tab w:val="left" w:pos="211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профессиональные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: </w:t>
      </w:r>
    </w:p>
    <w:p>
      <w:pPr>
        <w:pStyle w:val="Normal"/>
        <w:tabs>
          <w:tab w:val="clear" w:pos="708"/>
          <w:tab w:val="left" w:pos="211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ПК 3.1. Планировать и организовывать работу по транспортно-логистическому обслуживанию в сфере грузовых перевозок;</w:t>
      </w:r>
    </w:p>
    <w:p>
      <w:pPr>
        <w:pStyle w:val="Normal"/>
        <w:tabs>
          <w:tab w:val="clear" w:pos="708"/>
          <w:tab w:val="left" w:pos="211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ПК 3.2. Планировать и организовывать работу по транспортному обслуживанию в сфере пассажирских перевозок.</w:t>
      </w:r>
      <w:r>
        <w:br w:type="page"/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2. СТРУКТУРА И СОДЕРЖАНИЕ УЧЕБНОЙ ДИСЦИПЛИНЫ</w:t>
      </w:r>
    </w:p>
    <w:p>
      <w:pPr>
        <w:pStyle w:val="Normal"/>
        <w:shd w:fill="FFFFFF" w:val="clear"/>
        <w:spacing w:lineRule="exact" w:line="322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hd w:fill="FFFFFF" w:val="clear"/>
        <w:spacing w:lineRule="exact" w:line="322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>
      <w:pPr>
        <w:pStyle w:val="Normal"/>
        <w:shd w:fill="FFFFFF" w:val="clear"/>
        <w:spacing w:lineRule="exact" w:line="322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0"/>
        <w:gridCol w:w="1800"/>
      </w:tblGrid>
      <w:tr>
        <w:trPr>
          <w:trHeight w:val="460" w:hRule="atLeast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hd w:fill="FFFFFF" w:val="clear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hd w:fill="FFFFFF" w:val="clear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>
        <w:trPr>
          <w:trHeight w:val="285" w:hRule="atLeast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fill="FFFFFF" w:val="clear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</w:tr>
      <w:tr>
        <w:trPr/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fill="FFFFFF" w:val="clear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</w:tr>
      <w:tr>
        <w:trPr>
          <w:trHeight w:val="338" w:hRule="atLeast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hd w:fill="FFFFFF" w:val="clear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38" w:hRule="atLeast"/>
        </w:trPr>
        <w:tc>
          <w:tcPr>
            <w:tcW w:w="76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fill="FFFFFF" w:val="clear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</w:tr>
      <w:tr>
        <w:trPr/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fill="FFFFFF" w:val="clear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</w:tr>
      <w:tr>
        <w:trPr/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fill="FFFFFF" w:val="clear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fill="FFFFFF" w:val="clear"/>
              <w:spacing w:before="0" w:after="0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sz w:val="24"/>
                <w:szCs w:val="24"/>
              </w:rPr>
              <w:t>Промежуточная аттестация (3 семестр) – дифференцированный зачет</w:t>
            </w:r>
          </w:p>
        </w:tc>
      </w:tr>
    </w:tbl>
    <w:p>
      <w:pPr>
        <w:pStyle w:val="Normal"/>
        <w:shd w:fill="FFFFFF" w:val="clear"/>
        <w:spacing w:lineRule="exact" w:line="322" w:before="0" w:after="0"/>
        <w:ind w:firstLine="709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footnotePr>
            <w:numFmt w:val="decimal"/>
          </w:footnotePr>
          <w:type w:val="nextPage"/>
          <w:pgSz w:w="11906" w:h="16838"/>
          <w:pgMar w:left="1134" w:right="595" w:gutter="0" w:header="0" w:top="1134" w:footer="300" w:bottom="1134"/>
          <w:pgNumType w:fmt="decimal"/>
          <w:formProt w:val="false"/>
          <w:titlePg/>
          <w:textDirection w:val="lrTb"/>
          <w:docGrid w:type="default" w:linePitch="299" w:charSpace="0"/>
        </w:sect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709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2.2. Тематический план и содержание учебной дисциплины  (очная форма обучения)</w:t>
      </w:r>
    </w:p>
    <w:tbl>
      <w:tblPr>
        <w:tblW w:w="15877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3"/>
        <w:gridCol w:w="9150"/>
        <w:gridCol w:w="933"/>
        <w:gridCol w:w="1901"/>
      </w:tblGrid>
      <w:tr>
        <w:trPr>
          <w:trHeight w:val="23" w:hRule="atLeast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>
        <w:trPr>
          <w:trHeight w:val="23" w:hRule="atLeast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>
        <w:trPr>
          <w:trHeight w:val="23" w:hRule="atLeast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20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Введение в курс финансовой грамотности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38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eastAsia="ru-RU"/>
              </w:rPr>
              <w:t>Потребности и ресурсы. Финансовые цели. Финансовое благополучие и финансовые риски. Финансовые решения. Финансовое поведение. Финансовая культура.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 01, ОК 02, ОК 04, ОК 05</w:t>
            </w:r>
          </w:p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3.1, ПК 3.2</w:t>
            </w:r>
          </w:p>
        </w:tc>
      </w:tr>
      <w:tr>
        <w:trPr>
          <w:trHeight w:val="23" w:hRule="atLeast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Раздел 1. Деньги и операции с ними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  <w:lang w:eastAsia="ru-RU"/>
              </w:rPr>
              <w:t>12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2F2F2" w:val="clear"/>
            <w:vAlign w:val="center"/>
          </w:tcPr>
          <w:p>
            <w:pPr>
              <w:pStyle w:val="15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Тема 1.1. Деньги и платежи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2F2F2" w:val="clear"/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38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Роль и функции денег. Виды современных денег, их основные характеристики.</w:t>
            </w:r>
          </w:p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Денежная система. Покупательная способность денег. Инфляция. Основные риски, связанные с использованием денег. Возможности и ограничения использования иностранной валюты. Валютный курс. Платежи и расчеты. Поставщики платежных услуг. Платежные агенты. Платежные системы. Основные платежные инструменты: банковский счет, мобильный и интернет-банк, дебетовая, кредитная банковские карты, электронный кошелек. Риски при использовании различных платежных инструментов. Подтверждение расчетов.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 01, ОК 02, ОК 04, ОК 05</w:t>
            </w:r>
          </w:p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3.1, ПК 3.2</w:t>
            </w:r>
          </w:p>
        </w:tc>
      </w:tr>
      <w:tr>
        <w:trPr>
          <w:trHeight w:val="23" w:hRule="atLeast"/>
        </w:trPr>
        <w:tc>
          <w:tcPr>
            <w:tcW w:w="38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  <w:lang w:eastAsia="ru-RU"/>
              </w:rPr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Самостоятельная работа обучающихся №1</w:t>
            </w:r>
          </w:p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Подготовка презентации: Использование разных платежных инструментов с учетом особенностей своей специальности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Тема 1.2. Покупки и цены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2F2F2" w:val="clear"/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38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napToGrid w:val="false"/>
              <w:spacing w:lineRule="auto" w:line="240" w:before="0"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color w:val="FF0000"/>
                <w:sz w:val="24"/>
                <w:szCs w:val="24"/>
                <w:lang w:eastAsia="ru-RU"/>
              </w:rPr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Содержание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2"/>
                <w:sz w:val="24"/>
                <w:szCs w:val="24"/>
              </w:rPr>
              <w:t>у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1"/>
                <w:sz w:val="24"/>
                <w:szCs w:val="24"/>
              </w:rPr>
              <w:t>б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о ма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2"/>
                <w:sz w:val="24"/>
                <w:szCs w:val="24"/>
              </w:rPr>
              <w:t>т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ериа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а</w:t>
            </w:r>
          </w:p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Выбор товаров и услуг. Обязательная информация о товаре (услуге). Поставщики товаров и услуг. Агрегаторы и маркетплейсы. Цена товара. Дифференциация цен. Ценовая дискриминация. Программы лояльности (дисконтные карты, скидки, бонусы, кэшбек). Варианты оплаты (разные виды денег; оплата в момент получения, предоплата, покупка в кредит, рассрочка, подписка). Роль рекламы и других способов продвижения товаров и услуг продавцами. Возврат товара после покупки.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 03, ОК 04, ОК 05</w:t>
            </w:r>
          </w:p>
        </w:tc>
      </w:tr>
      <w:tr>
        <w:trPr>
          <w:trHeight w:val="23" w:hRule="atLeast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Тема 1.3. Безопасное использование денег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napToGrid w:val="false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38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napToGrid w:val="false"/>
              <w:spacing w:lineRule="auto" w:line="240" w:before="0"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color w:val="FF0000"/>
                <w:sz w:val="24"/>
                <w:szCs w:val="24"/>
                <w:lang w:eastAsia="ru-RU"/>
              </w:rPr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Содержание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2"/>
                <w:sz w:val="24"/>
                <w:szCs w:val="24"/>
              </w:rPr>
              <w:t>у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1"/>
                <w:sz w:val="24"/>
                <w:szCs w:val="24"/>
              </w:rPr>
              <w:t>б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о ма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2"/>
                <w:sz w:val="24"/>
                <w:szCs w:val="24"/>
              </w:rPr>
              <w:t>т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ериа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а</w:t>
            </w:r>
          </w:p>
          <w:p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Финансовая безопасность в сфере денежного обращения и покупок. Выбор добросовестного поставщика финансовых услуг. Персональные данные, их значение для безопасного использования денег. Основы безопасного пользования банкоматами. Безопасность денежных операций в цифровой среде. Техники социальной инженерии, включая фишинг, и способы защиты. Правила возмещения средств, несанкционированно списанных со счета.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 03, ОК 04, ОК 05, ОК 07</w:t>
            </w:r>
          </w:p>
        </w:tc>
      </w:tr>
      <w:tr>
        <w:trPr>
          <w:trHeight w:val="1112" w:hRule="atLeast"/>
        </w:trPr>
        <w:tc>
          <w:tcPr>
            <w:tcW w:w="38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napToGrid w:val="false"/>
              <w:spacing w:lineRule="auto" w:line="240" w:before="0"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color w:val="FF0000"/>
                <w:sz w:val="24"/>
                <w:szCs w:val="24"/>
                <w:lang w:eastAsia="ru-RU"/>
              </w:rPr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Практическое занятие №1 </w:t>
            </w:r>
          </w:p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Влияние инфляции на финансовые возможности человека. Издержки проведения платежей разного вида. </w:t>
            </w:r>
          </w:p>
          <w:p>
            <w:pPr>
              <w:pStyle w:val="TableParagraph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Для всех профилей: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 Признаки подлинности и платежности банкнот и монет (дизайн, применяемые технологии, используемые материалы).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3,2</w:t>
            </w:r>
          </w:p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 01, ОК 02, ОК 03, ОК 04, ОК 05</w:t>
            </w:r>
          </w:p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3.1, ПК 3.2</w:t>
            </w:r>
          </w:p>
        </w:tc>
      </w:tr>
      <w:tr>
        <w:trPr>
          <w:trHeight w:val="1078" w:hRule="atLeast"/>
        </w:trPr>
        <w:tc>
          <w:tcPr>
            <w:tcW w:w="38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napToGrid w:val="false"/>
              <w:spacing w:lineRule="auto" w:line="240" w:before="0"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color w:val="FF0000"/>
                <w:sz w:val="24"/>
                <w:szCs w:val="24"/>
                <w:lang w:eastAsia="ru-RU"/>
              </w:rPr>
            </w:r>
          </w:p>
        </w:tc>
        <w:tc>
          <w:tcPr>
            <w:tcW w:w="915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Практическое занятие №2 </w:t>
            </w:r>
          </w:p>
          <w:p>
            <w:pPr>
              <w:pStyle w:val="TableParagraph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Расчет полной цены. Выбор наилучшего предложения. Выбор надежного интернет-магазина.</w:t>
            </w:r>
          </w:p>
          <w:p>
            <w:pPr>
              <w:pStyle w:val="TableParagraph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Для всех профилей: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 Стоимость товара с учетом скидок и рекламных акций. Алгоритм безопасного использования платежных инструментов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2. Планирование и управление личными финансами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u w:val="single"/>
              </w:rPr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2F2F2" w:val="clear"/>
            <w:vAlign w:val="center"/>
          </w:tcPr>
          <w:p>
            <w:pPr>
              <w:pStyle w:val="15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FF0000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z w:val="24"/>
                <w:szCs w:val="24"/>
                <w:u w:val="single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Тема 2.1. Личный и семейный бюджет, финансовое планирование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TableParagraph"/>
              <w:snapToGrid w:val="false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2F2F2" w:val="clear"/>
            <w:vAlign w:val="center"/>
          </w:tcPr>
          <w:p>
            <w:pPr>
              <w:pStyle w:val="15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38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napToGrid w:val="false"/>
              <w:spacing w:lineRule="auto" w:line="240" w:before="0"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  <w:lang w:eastAsia="ru-RU"/>
              </w:rPr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Содержание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2"/>
                <w:sz w:val="24"/>
                <w:szCs w:val="24"/>
              </w:rPr>
              <w:t>у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1"/>
                <w:sz w:val="24"/>
                <w:szCs w:val="24"/>
              </w:rPr>
              <w:t>б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о ма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2"/>
                <w:sz w:val="24"/>
                <w:szCs w:val="24"/>
              </w:rPr>
              <w:t>т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ериа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а</w:t>
            </w:r>
          </w:p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Постановка финансовых целей (краткосрочные и долгосрочные финансовые цели, принцип SMART, выбор способов и контроль достижения финансовой цели). Человеческий и финансовый капитал. Виды доходов и расходов. Принципы ведения личного и семейного бюджета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 03, ОК 04, ОК 05</w:t>
            </w:r>
          </w:p>
        </w:tc>
      </w:tr>
      <w:tr>
        <w:trPr>
          <w:trHeight w:val="23" w:hRule="atLeast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tabs>
                <w:tab w:val="clear" w:pos="708"/>
                <w:tab w:val="left" w:pos="720" w:leader="none"/>
                <w:tab w:val="left" w:pos="1260" w:leader="none"/>
              </w:tabs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Тема 2.2. Личные сбережения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TableParagraph"/>
              <w:snapToGrid w:val="false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2F2F2" w:val="clear"/>
            <w:vAlign w:val="center"/>
          </w:tcPr>
          <w:p>
            <w:pPr>
              <w:pStyle w:val="15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38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tabs>
                <w:tab w:val="clear" w:pos="708"/>
                <w:tab w:val="left" w:pos="720" w:leader="none"/>
                <w:tab w:val="left" w:pos="1260" w:leader="none"/>
              </w:tabs>
              <w:snapToGrid w:val="false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Содержание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2"/>
                <w:sz w:val="24"/>
                <w:szCs w:val="24"/>
              </w:rPr>
              <w:t>у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1"/>
                <w:sz w:val="24"/>
                <w:szCs w:val="24"/>
              </w:rPr>
              <w:t>б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о ма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2"/>
                <w:sz w:val="24"/>
                <w:szCs w:val="24"/>
              </w:rPr>
              <w:t>т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ериа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а</w:t>
            </w:r>
          </w:p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Цели сбережений. Изменение стоимости денег во времени. Основные формы сбережений: наличные деньги, банковские счета и их виды. Доходность банковских вкладов. Простые и сложные проценты. Влияние инфляции на процентный доход. Сейфовые ячейки. Риски для сбережений и пути их минимизации. Система страхования  вкладов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 03, ОК 04, ОК 05</w:t>
            </w:r>
          </w:p>
        </w:tc>
      </w:tr>
      <w:tr>
        <w:trPr>
          <w:trHeight w:val="23" w:hRule="atLeast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Тема 2.3. Кредиты и займы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napToGrid w:val="false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tabs>
                <w:tab w:val="clear" w:pos="708"/>
                <w:tab w:val="left" w:pos="851" w:leader="none"/>
                <w:tab w:val="left" w:pos="992" w:leader="none"/>
              </w:tabs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2F2F2" w:val="clear"/>
            <w:vAlign w:val="center"/>
          </w:tcPr>
          <w:p>
            <w:pPr>
              <w:pStyle w:val="15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38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napToGrid w:val="false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Содержание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2"/>
                <w:sz w:val="24"/>
                <w:szCs w:val="24"/>
              </w:rPr>
              <w:t>у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1"/>
                <w:sz w:val="24"/>
                <w:szCs w:val="24"/>
              </w:rPr>
              <w:t>б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о ма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2"/>
                <w:sz w:val="24"/>
                <w:szCs w:val="24"/>
              </w:rPr>
              <w:t>т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ериа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а</w:t>
            </w:r>
          </w:p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Цели заимствований. Проценты по кредитам и займам. Неустойки. Регулирование процентов и неустоек. Основные инструменты заимствования.</w:t>
            </w:r>
          </w:p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Банковский кредит. Принципы кредитования. Виды кредитов. Условия кредитования. Формы обеспечения возвратности кредита. Кредитный договор.</w:t>
            </w:r>
          </w:p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Риски использования кредитов и займов и пути их минимизации. Страхование</w:t>
            </w:r>
          </w:p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 кредитовании. Взыскание долгов. Кредитная история. Кредитные каникулы. Реструктуризация и рефинансирование кредита. Личное банкротство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tabs>
                <w:tab w:val="clear" w:pos="708"/>
                <w:tab w:val="left" w:pos="851" w:leader="none"/>
                <w:tab w:val="left" w:pos="992" w:leader="none"/>
              </w:tabs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 03, ОК 04, ОК 05</w:t>
            </w:r>
          </w:p>
        </w:tc>
      </w:tr>
      <w:tr>
        <w:trPr>
          <w:trHeight w:val="23" w:hRule="atLeast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Тема 2.4. Безопасное управление личными финансами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napToGrid w:val="false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2F2F2" w:val="clear"/>
            <w:vAlign w:val="center"/>
          </w:tcPr>
          <w:p>
            <w:pPr>
              <w:pStyle w:val="15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38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napToGrid w:val="false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Содержание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2"/>
                <w:sz w:val="24"/>
                <w:szCs w:val="24"/>
              </w:rPr>
              <w:t>у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1"/>
                <w:sz w:val="24"/>
                <w:szCs w:val="24"/>
              </w:rPr>
              <w:t>б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о ма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2"/>
                <w:sz w:val="24"/>
                <w:szCs w:val="24"/>
              </w:rPr>
              <w:t>т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ериа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а</w:t>
            </w:r>
          </w:p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Финансовая безопасность и цифровая среда в сфере личных финансов. Оптимизация личного и семейного бюджета с учетом обеспечения безопасности.  Удаленное банковское обслуживание. Дистанционное управление личными финансами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3,2</w:t>
            </w:r>
          </w:p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 01, ОК 02, ОК 03, ОК 04, ОК 05, ОК 07</w:t>
            </w:r>
          </w:p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3.1, ПК 3.2</w:t>
            </w:r>
          </w:p>
        </w:tc>
      </w:tr>
      <w:tr>
        <w:trPr>
          <w:trHeight w:val="1386" w:hRule="atLeast"/>
        </w:trPr>
        <w:tc>
          <w:tcPr>
            <w:tcW w:w="38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napToGrid w:val="false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>
            <w:pPr>
              <w:pStyle w:val="TableParagraph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Практическое занятие №3 </w:t>
            </w:r>
          </w:p>
          <w:p>
            <w:pPr>
              <w:pStyle w:val="TableParagraph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Возможности сокращения расходов и повышения доходов. Безопасное использование сберегательных инструментов. Выбор добросовестного поставщика финансовых услуг. </w:t>
            </w:r>
          </w:p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Для всех профилей: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 Планирование личного бюджета и оценка его выполнения. Выбор банка и оценка доходности банковского вклада.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356" w:hRule="atLeast"/>
        </w:trPr>
        <w:tc>
          <w:tcPr>
            <w:tcW w:w="38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napToGrid w:val="false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915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Практическое заня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ие №4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Безопасное использование кредитных инструментов. Выбор добросовестного поставщика финансовых услуг. Выбор оптимальных условий заимствования. 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Управление личным бюджетом.</w:t>
            </w:r>
          </w:p>
          <w:p>
            <w:pPr>
              <w:pStyle w:val="TableParagraph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Для всех профилей: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Моделирование семейного бюджета в условиях как дефицита, так и избытка доходов. Выбор банка и банковского кредита.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u w:val="single"/>
              </w:rPr>
              <w:t>Раздел 3. Риск и доходность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  <w:u w:val="single"/>
              </w:rPr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tabs>
                <w:tab w:val="clear" w:pos="708"/>
                <w:tab w:val="left" w:pos="992" w:leader="none"/>
              </w:tabs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u w:val="single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pacing w:val="-8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8"/>
                <w:sz w:val="24"/>
                <w:szCs w:val="24"/>
              </w:rPr>
              <w:t>Тема 3.1. Инвестирование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napToGrid w:val="false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pacing w:val="-8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8"/>
                <w:sz w:val="24"/>
                <w:szCs w:val="24"/>
              </w:rPr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2F2F2" w:val="clear"/>
            <w:vAlign w:val="center"/>
          </w:tcPr>
          <w:p>
            <w:pPr>
              <w:pStyle w:val="15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38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napToGrid w:val="false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Содержание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2"/>
                <w:sz w:val="24"/>
                <w:szCs w:val="24"/>
              </w:rPr>
              <w:t>у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1"/>
                <w:sz w:val="24"/>
                <w:szCs w:val="24"/>
              </w:rPr>
              <w:t>б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о ма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2"/>
                <w:sz w:val="24"/>
                <w:szCs w:val="24"/>
              </w:rPr>
              <w:t>т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ериа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а</w:t>
            </w:r>
          </w:p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Цели и риски инвестирования. Ликвидность и доходность инвестиций. Взаимосвязь доходности и риска. Основные инвестиционные продукты и их базовые характеристики. Индивидуальный инвестиционный счет (ИИС). Формирование инвестиционного портфеля. Диверсификация. Мошенничество в сфере инвестиций, способы защиты от него. Особенности финансовых пирамид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 03, ОК 04, ОК 05</w:t>
            </w:r>
          </w:p>
        </w:tc>
      </w:tr>
      <w:tr>
        <w:trPr>
          <w:trHeight w:val="23" w:hRule="atLeast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Тема 3.2. Страхование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napToGrid w:val="false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2F2F2" w:val="clear"/>
            <w:vAlign w:val="center"/>
          </w:tcPr>
          <w:p>
            <w:pPr>
              <w:pStyle w:val="15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38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Содержание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2"/>
                <w:sz w:val="24"/>
                <w:szCs w:val="24"/>
              </w:rPr>
              <w:t>у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1"/>
                <w:sz w:val="24"/>
                <w:szCs w:val="24"/>
              </w:rPr>
              <w:t>б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о ма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2"/>
                <w:sz w:val="24"/>
                <w:szCs w:val="24"/>
              </w:rPr>
              <w:t>т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ериа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а</w:t>
            </w:r>
          </w:p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Страхование как один из способов управления рисками. Виды страхования: личное страхование, имущественное страхование, страхование гражданской ответственности. Основные виды страховых продуктов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 03, ОК 04, ОК 05</w:t>
            </w:r>
          </w:p>
        </w:tc>
      </w:tr>
      <w:tr>
        <w:trPr>
          <w:trHeight w:val="23" w:hRule="atLeast"/>
        </w:trPr>
        <w:tc>
          <w:tcPr>
            <w:tcW w:w="38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Самостоятельная работа обучающихся №2</w:t>
            </w:r>
          </w:p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</w:rPr>
              <w:t>Подготовка презентации: Специфика страхования в разных профессиях (профессиональные страховые продукты).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Тема 3.3. Предпринимательство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napToGrid w:val="false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2F2F2" w:val="clear"/>
            <w:vAlign w:val="center"/>
          </w:tcPr>
          <w:p>
            <w:pPr>
              <w:pStyle w:val="15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38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Содержание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2"/>
                <w:sz w:val="24"/>
                <w:szCs w:val="24"/>
              </w:rPr>
              <w:t>у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1"/>
                <w:sz w:val="24"/>
                <w:szCs w:val="24"/>
              </w:rPr>
              <w:t>б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о ма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2"/>
                <w:sz w:val="24"/>
                <w:szCs w:val="24"/>
              </w:rPr>
              <w:t>т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ериа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а</w:t>
            </w:r>
          </w:p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Роль предпринимательства в жизни человека и общества. Условия развития стартапов и малого бизнеса. Формы ведения предпринимательской деятельности и их основные характеристики. Возможные источники финансирования малого бизнеса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3,2</w:t>
            </w:r>
          </w:p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 01, ОК 02, ОК 03, ОК 04, ОК 05</w:t>
            </w:r>
          </w:p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3.1, ПК 3.2</w:t>
            </w:r>
          </w:p>
        </w:tc>
      </w:tr>
      <w:tr>
        <w:trPr>
          <w:trHeight w:val="1386" w:hRule="atLeast"/>
        </w:trPr>
        <w:tc>
          <w:tcPr>
            <w:tcW w:w="38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Практическое заня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 xml:space="preserve">ие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№5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Стратегия инвестирования. Требования для открытия собственного бизнеса и алгоритм действий.</w:t>
            </w:r>
          </w:p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Для всех профилей: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Базовые принципы формирования инвестиционного портфеля. Базовые финансовые показатели бизнеса: выручка, постоянные и переменные издержки, прибыль.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080" w:hRule="atLeast"/>
        </w:trPr>
        <w:tc>
          <w:tcPr>
            <w:tcW w:w="38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5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Практическое заня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 xml:space="preserve">ие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№6 </w:t>
            </w:r>
          </w:p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Безопасное использование страховых продуктов. Выбор добросовестного поставщика страховых услуг</w:t>
            </w:r>
          </w:p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Для всех профилей: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Страхование как способ обеспечения безопасности в профессиональной деятельности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8"/>
                <w:sz w:val="24"/>
                <w:szCs w:val="24"/>
                <w:u w:val="single"/>
              </w:rPr>
              <w:t>Раздел 4. Финансовая среда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2F2F2" w:val="clear"/>
            <w:vAlign w:val="center"/>
          </w:tcPr>
          <w:p>
            <w:pPr>
              <w:pStyle w:val="15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u w:val="single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Тема 4.1. Финансовые взаимоотношения с государством. Защита прав граждан в финансовой сфере.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snapToGrid w:val="false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2F2F2" w:val="clear"/>
            <w:vAlign w:val="center"/>
          </w:tcPr>
          <w:p>
            <w:pPr>
              <w:pStyle w:val="15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1386" w:hRule="atLeast"/>
        </w:trPr>
        <w:tc>
          <w:tcPr>
            <w:tcW w:w="38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Содержание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2"/>
                <w:sz w:val="24"/>
                <w:szCs w:val="24"/>
              </w:rPr>
              <w:t>у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1"/>
                <w:sz w:val="24"/>
                <w:szCs w:val="24"/>
              </w:rPr>
              <w:t>б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о ма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2"/>
                <w:sz w:val="24"/>
                <w:szCs w:val="24"/>
              </w:rPr>
              <w:t>т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ериа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а</w:t>
            </w:r>
          </w:p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 Роль налогов, налоговой и социальной политики государства для экономики страны и личного благосостояния граждан. Налоги физических лиц. Налоговые вычеты и льготы. Пенсионная система России. Социальная поддержка граждан. Возможности инициативного бюджетирования.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 03, ОК 04, ОК 05</w:t>
            </w:r>
          </w:p>
        </w:tc>
      </w:tr>
      <w:tr>
        <w:trPr>
          <w:trHeight w:val="1356" w:hRule="atLeast"/>
        </w:trPr>
        <w:tc>
          <w:tcPr>
            <w:tcW w:w="38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5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Основные права граждан в финансовой сфере и формы их защиты. Задачи и полномочия Банка России, других государственных органов в сфере защиты прав потребителей финансовых услуг. Досудебное и судебное урегулирование споров. Уполномоченный по правам потребителей финансовых услуг. Особенности защиты прав потребителей в цифровой среде.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90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820" w:hRule="atLeast"/>
        </w:trPr>
        <w:tc>
          <w:tcPr>
            <w:tcW w:w="38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>
            <w:pPr>
              <w:pStyle w:val="TableParagraph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Практическое заня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 xml:space="preserve">ие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№7</w:t>
            </w:r>
            <w:r>
              <w:rPr/>
              <w:t xml:space="preserve"> </w:t>
            </w:r>
          </w:p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Применение налоговых вычетов для увеличения дохода</w:t>
            </w:r>
          </w:p>
          <w:p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Для всех профилей: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Основные цифровые сервисы государства для граждан. Налоги и пенсионное обеспечение для самозанятых и ИП.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ОК 01, ОК 02, ОК 03, ОК 04, ОК 05</w:t>
            </w:r>
          </w:p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ПК 3.1, ПК 3.2</w:t>
            </w:r>
          </w:p>
        </w:tc>
      </w:tr>
      <w:tr>
        <w:trPr>
          <w:trHeight w:val="1094" w:hRule="atLeast"/>
        </w:trPr>
        <w:tc>
          <w:tcPr>
            <w:tcW w:w="38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5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TableParagraph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Практическое заня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 xml:space="preserve">ие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№8</w:t>
            </w:r>
          </w:p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Типичные  ситуации нарушения  прав граждан в финансовой сфере.</w:t>
            </w:r>
          </w:p>
          <w:p>
            <w:pPr>
              <w:pStyle w:val="TableParagraph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Для всех профилей: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Алгоритм действий при нарушении прав граждан в финансовой сфере.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3" w:hRule="atLeast"/>
        </w:trPr>
        <w:tc>
          <w:tcPr>
            <w:tcW w:w="1587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</w:tr>
      <w:tr>
        <w:trPr>
          <w:trHeight w:val="23" w:hRule="atLeast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napToGrid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15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15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  <w:lang w:eastAsia="ru-RU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2F2F2" w:val="clear"/>
            <w:vAlign w:val="center"/>
          </w:tcPr>
          <w:p>
            <w:pPr>
              <w:pStyle w:val="15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u w:val="single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cs="Times New Roman" w:ascii="Times New Roman" w:hAnsi="Times New Roman"/>
          <w:sz w:val="24"/>
          <w:szCs w:val="24"/>
        </w:rPr>
        <w:t xml:space="preserve">1. </w:t>
      </w:r>
      <w:r>
        <w:rPr>
          <w:rFonts w:cs="Times New Roman" w:ascii="Times New Roman" w:hAnsi="Times New Roman"/>
        </w:rPr>
        <w:t>-</w:t>
      </w:r>
      <w:r>
        <w:rPr>
          <w:rFonts w:cs="Times New Roman" w:ascii="Times New Roman" w:hAnsi="Times New Roman"/>
          <w:sz w:val="24"/>
          <w:szCs w:val="24"/>
        </w:rPr>
        <w:t xml:space="preserve"> ознакомительный (узнавание ранее изученных объектов, свойств);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</w:rPr>
        <w:t>2. - репродуктивный (выполнение деятельности по образцу, инструкции или под руководством)</w:t>
      </w:r>
      <w:r>
        <mc:AlternateContent>
          <mc:Choice Requires="wps">
            <w:drawing>
              <wp:anchor behindDoc="0" distT="0" distB="0" distL="6400800" distR="6400800" simplePos="0" locked="0" layoutInCell="0" allowOverlap="1" relativeHeight="20">
                <wp:simplePos x="0" y="0"/>
                <wp:positionH relativeFrom="page">
                  <wp:posOffset>484505</wp:posOffset>
                </wp:positionH>
                <wp:positionV relativeFrom="page">
                  <wp:posOffset>7723505</wp:posOffset>
                </wp:positionV>
                <wp:extent cx="9437370" cy="873125"/>
                <wp:effectExtent l="0" t="0" r="0" b="0"/>
                <wp:wrapTopAndBottom/>
                <wp:docPr id="2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37370" cy="87312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widowControl/>
                              <w:bidi w:val="0"/>
                              <w:spacing w:lineRule="auto" w:line="276"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635" tIns="635" rIns="635" bIns="63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743.1pt;height:68.75pt;mso-wrap-distance-left:504pt;mso-wrap-distance-right:504pt;mso-wrap-distance-top:0pt;mso-wrap-distance-bottom:0pt;margin-top:608.15pt;mso-position-vertical-relative:page;margin-left:38.15pt;mso-position-horizontal-relative:page">
                <v:fill opacity="0f"/>
                <v:textbox inset="0.000694444444444445in,0.000694444444444445in,0.000694444444444445in,0.000694444444444445in">
                  <w:txbxContent>
                    <w:p>
                      <w:pPr>
                        <w:pStyle w:val="Normal"/>
                        <w:widowControl/>
                        <w:bidi w:val="0"/>
                        <w:spacing w:lineRule="auto" w:line="276"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sectPr>
          <w:headerReference w:type="default" r:id="rId6"/>
          <w:footerReference w:type="default" r:id="rId7"/>
          <w:footnotePr>
            <w:numFmt w:val="decimal"/>
          </w:footnotePr>
          <w:type w:val="nextPage"/>
          <w:pgSz w:orient="landscape" w:w="16838" w:h="11906"/>
          <w:pgMar w:left="1134" w:right="595" w:gutter="0" w:header="0" w:top="709" w:footer="709" w:bottom="765"/>
          <w:pgNumType w:fmt="decimal"/>
          <w:formProt w:val="false"/>
          <w:textDirection w:val="lrTb"/>
          <w:docGrid w:type="default" w:linePitch="360" w:charSpace="0"/>
        </w:sectPr>
        <w:pStyle w:val="Style110"/>
        <w:widowControl/>
        <w:ind w:firstLine="709"/>
        <w:rPr/>
      </w:pPr>
      <w:r>
        <w:rPr/>
        <w:t>3. - продуктивный (планирование и самостоятельное выполнение деятельности, решение проблемных задач)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3. УСЛОВИЯ РЕАЛИЗАЦИИ ПРОГРАММЫ УЧЕБНОЙ ДИСЦИПЛИНЫ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>
        <w:rPr>
          <w:rFonts w:cs="Times New Roman" w:ascii="Times New Roman" w:hAnsi="Times New Roman"/>
          <w:sz w:val="24"/>
          <w:szCs w:val="24"/>
        </w:rPr>
        <w:t>информатики и информационных систем.</w:t>
      </w:r>
    </w:p>
    <w:p>
      <w:pPr>
        <w:pStyle w:val="Normal"/>
        <w:shd w:fill="FFFFFF" w:val="clear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Оборудование учебного кабинета: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посадочные места по количеству обучающихся;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рабочее место преподавателя;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методические материалы по дисциплине.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>
        <w:rPr>
          <w:rFonts w:cs="Times New Roman" w:ascii="Times New Roman" w:hAnsi="Times New Roman"/>
          <w:sz w:val="24"/>
          <w:szCs w:val="24"/>
          <w:lang w:val="en-US"/>
        </w:rPr>
        <w:t>Internet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>
        <w:rPr>
          <w:rFonts w:cs="Times New Roman" w:ascii="Times New Roman" w:hAnsi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>
        <w:rPr>
          <w:rFonts w:cs="Times New Roman" w:ascii="Times New Roman" w:hAnsi="Times New Roman"/>
          <w:sz w:val="24"/>
          <w:szCs w:val="24"/>
        </w:rPr>
        <w:t xml:space="preserve"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(мультимедийный проектор и экран).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>
      <w:pPr>
        <w:pStyle w:val="Normal"/>
        <w:shd w:fill="FFFFFF" w:val="clear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951" w:type="dxa"/>
        <w:jc w:val="center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674"/>
        <w:gridCol w:w="6004"/>
        <w:gridCol w:w="3273"/>
      </w:tblGrid>
      <w:tr>
        <w:trPr>
          <w:trHeight w:val="23" w:hRule="atLeast"/>
          <w:cantSplit w:val="true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hd w:fill="FFFFFF" w:val="clear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hd w:fill="FFFFFF" w:val="clear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hd w:fill="FFFFFF" w:val="clear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  <w:lang w:eastAsia="ru-RU"/>
              </w:rPr>
              <w:t>лицензии</w:t>
            </w:r>
          </w:p>
        </w:tc>
      </w:tr>
      <w:tr>
        <w:trPr>
          <w:trHeight w:val="23" w:hRule="atLeast"/>
          <w:cantSplit w:val="true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MicrosoftOpenLicense 45411155</w:t>
            </w:r>
          </w:p>
        </w:tc>
      </w:tr>
      <w:tr>
        <w:trPr>
          <w:trHeight w:val="23" w:hRule="atLeast"/>
          <w:cantSplit w:val="true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MSDN Platforms OLP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License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>
        <w:trPr>
          <w:trHeight w:val="23" w:hRule="atLeast"/>
          <w:cantSplit w:val="true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>
        <w:trPr>
          <w:trHeight w:val="23" w:hRule="atLeast"/>
          <w:cantSplit w:val="true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>
        <w:trPr>
          <w:trHeight w:val="23" w:hRule="atLeast"/>
          <w:cantSplit w:val="true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>
        <w:trPr>
          <w:trHeight w:val="23" w:hRule="atLeast"/>
          <w:cantSplit w:val="true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Microsoft Windows 10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>
        <w:trPr>
          <w:trHeight w:val="23" w:hRule="atLeast"/>
          <w:cantSplit w:val="true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Autodesk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AutoCAD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Коробочная (разный № на каждой коробке)</w:t>
            </w:r>
          </w:p>
        </w:tc>
      </w:tr>
      <w:tr>
        <w:trPr>
          <w:trHeight w:val="23" w:hRule="atLeast"/>
          <w:cantSplit w:val="true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Mathcad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Education 14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60-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>
        <w:trPr>
          <w:trHeight w:val="23" w:hRule="atLeast"/>
          <w:cantSplit w:val="true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КОМПАС-3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D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V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АГ-13-01294</w:t>
            </w:r>
          </w:p>
        </w:tc>
      </w:tr>
      <w:tr>
        <w:trPr>
          <w:trHeight w:val="23" w:hRule="atLeast"/>
          <w:cantSplit w:val="true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>
        <w:trPr>
          <w:trHeight w:val="23" w:hRule="atLeast"/>
          <w:cantSplit w:val="true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ABBY FineReader 11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Коробочная ( разный № на каждой коробке)</w:t>
            </w:r>
          </w:p>
        </w:tc>
      </w:tr>
      <w:tr>
        <w:trPr>
          <w:trHeight w:val="23" w:hRule="atLeast"/>
          <w:cantSplit w:val="true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PN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>
        <w:trPr>
          <w:trHeight w:val="23" w:hRule="atLeast"/>
          <w:cantSplit w:val="true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Контент-фильтр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SkyDNS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/>
      </w:pPr>
      <w:r>
        <w:rPr/>
        <w:t>Программное обеспечение по GNU General Public License (свободно распространяемое)</w:t>
      </w:r>
    </w:p>
    <w:tbl>
      <w:tblPr>
        <w:tblW w:w="10065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356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МойОфис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 изучении дисциплины в формате электронного обучения с использованием ДОТ: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Программы для видеоконференций: </w:t>
      </w:r>
      <w:r>
        <w:rPr>
          <w:rFonts w:cs="Times New Roman" w:ascii="Times New Roman" w:hAnsi="Times New Roman"/>
          <w:sz w:val="24"/>
          <w:szCs w:val="24"/>
          <w:lang w:val="en-US"/>
        </w:rPr>
        <w:t>Zoom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Cloud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Meetings</w:t>
      </w:r>
      <w:r>
        <w:rPr>
          <w:rFonts w:cs="Times New Roman" w:ascii="Times New Roman" w:hAnsi="Times New Roman"/>
          <w:sz w:val="24"/>
          <w:szCs w:val="24"/>
        </w:rPr>
        <w:t>, Яндекс Телемост.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Электронная платформа Moodle.</w:t>
      </w:r>
    </w:p>
    <w:p>
      <w:pPr>
        <w:pStyle w:val="Normal"/>
        <w:keepNext w:val="tru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>
      <w:pPr>
        <w:pStyle w:val="Normal"/>
        <w:shd w:fill="FFFFFF" w:val="clear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>
      <w:pPr>
        <w:pStyle w:val="Normal"/>
        <w:shd w:fill="FFFFFF" w:val="clear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hd w:fill="FFFFFF" w:val="clear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3.2.1 Основные источники:</w:t>
      </w:r>
    </w:p>
    <w:p>
      <w:pPr>
        <w:pStyle w:val="Style22"/>
        <w:tabs>
          <w:tab w:val="clear" w:pos="708"/>
          <w:tab w:val="left" w:pos="1134" w:leader="none"/>
        </w:tabs>
        <w:spacing w:before="0" w:after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1. Основы финансовой грамотности : учебник для спо / Е. И. Костюкова, И. И. Глотова, Е. П. Томилина [и др.]. — 2-е изд., стер. — Санкт-Петербург : Лань, 2024. — 316 с. — ISBN 978-5-507-47451-6. — Текст : электронный // Лань : электронно-библиотечная система. — URL: https://e.lanbook.com/book/378458 — Режим доступа: для авториз. пользователей. </w:t>
      </w:r>
    </w:p>
    <w:p>
      <w:pPr>
        <w:pStyle w:val="Style22"/>
        <w:tabs>
          <w:tab w:val="clear" w:pos="708"/>
          <w:tab w:val="left" w:pos="1134" w:leader="none"/>
        </w:tabs>
        <w:spacing w:before="0" w:after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2. Прохорова, Н. Н. Основы финансовой грамотности : учебно-методическое пособие / Н. Н. Прохорова. — Брянск : Брянский ГАУ, 2021. — 24 с. — Текст : электронный // Лань : электронно-библиотечная система. — URL: https://e.lanbook.com/book/304454 — Режим доступа: для авториз. пользователей. </w:t>
      </w:r>
    </w:p>
    <w:p>
      <w:pPr>
        <w:pStyle w:val="Style22"/>
        <w:tabs>
          <w:tab w:val="clear" w:pos="708"/>
          <w:tab w:val="left" w:pos="1134" w:leader="none"/>
        </w:tabs>
        <w:spacing w:before="0" w:after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3. Шитов, В. Н., Основы финансовой грамотности : учебное пособие / В. Н. Шитов. — Москва : КноРус, 2025. — 250 с. — ISBN 978-5-406-14364-3. — URL: https://book.ru/book/957194. — Текст : электронный.</w:t>
      </w:r>
    </w:p>
    <w:p>
      <w:pPr>
        <w:pStyle w:val="Style22"/>
        <w:tabs>
          <w:tab w:val="clear" w:pos="708"/>
          <w:tab w:val="left" w:pos="1134" w:leader="none"/>
        </w:tabs>
        <w:spacing w:before="0" w:after="0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4. Абдулгалимов, А. М., Основы финансовой грамотности: налоги и налогообложение : справочное издание / А. М. Абдулгалимов, И. А. Мохов. — Москва : КноРус, 2024. — 203 с. — ISBN 978-5-406-12003-3. — URL: https://book.ru/book/950348. — Текст : электронный.</w:t>
      </w:r>
    </w:p>
    <w:p>
      <w:pPr>
        <w:pStyle w:val="Style22"/>
        <w:tabs>
          <w:tab w:val="clear" w:pos="708"/>
          <w:tab w:val="left" w:pos="1134" w:leader="none"/>
        </w:tabs>
        <w:spacing w:before="0" w:after="0"/>
        <w:ind w:firstLine="709"/>
        <w:jc w:val="both"/>
        <w:rPr/>
      </w:pPr>
      <w:r>
        <w:rPr>
          <w:b/>
          <w:bCs/>
        </w:rPr>
        <w:t>3.2.2 Дополнительные источники</w:t>
      </w:r>
      <w:r>
        <w:rPr/>
        <w:t>:</w:t>
      </w:r>
    </w:p>
    <w:p>
      <w:pPr>
        <w:pStyle w:val="Style22"/>
        <w:tabs>
          <w:tab w:val="clear" w:pos="708"/>
          <w:tab w:val="left" w:pos="1134" w:leader="none"/>
        </w:tabs>
        <w:spacing w:before="0" w:after="0"/>
        <w:ind w:firstLine="709"/>
        <w:jc w:val="both"/>
        <w:rPr/>
      </w:pPr>
      <w:r>
        <w:rPr/>
        <w:t>1.</w:t>
        <w:tab/>
        <w:t xml:space="preserve">Министерство финансов РФ [Электронный ресурс] – Режим доступа: https://minfin.gov.ru/. </w:t>
      </w:r>
    </w:p>
    <w:p>
      <w:pPr>
        <w:pStyle w:val="Style22"/>
        <w:tabs>
          <w:tab w:val="clear" w:pos="708"/>
          <w:tab w:val="left" w:pos="1134" w:leader="none"/>
        </w:tabs>
        <w:spacing w:before="0" w:after="0"/>
        <w:ind w:firstLine="709"/>
        <w:jc w:val="both"/>
        <w:rPr/>
      </w:pPr>
      <w:r>
        <w:rPr/>
        <w:t>2.</w:t>
        <w:tab/>
        <w:t>Образовательные проекты ПАКК [Электронный ресурс] – Режим доступа: www.edu.pacc.ru.</w:t>
      </w:r>
    </w:p>
    <w:p>
      <w:pPr>
        <w:pStyle w:val="Style22"/>
        <w:tabs>
          <w:tab w:val="clear" w:pos="708"/>
          <w:tab w:val="left" w:pos="1134" w:leader="none"/>
        </w:tabs>
        <w:spacing w:before="0" w:after="0"/>
        <w:ind w:firstLine="709"/>
        <w:jc w:val="both"/>
        <w:rPr/>
      </w:pPr>
      <w:r>
        <w:rPr/>
        <w:t>3.</w:t>
        <w:tab/>
        <w:t xml:space="preserve">Пенсионный фонд РФ [Электронный ресурс] – Режим доступа: www.pfr.gov.ru </w:t>
      </w:r>
    </w:p>
    <w:p>
      <w:pPr>
        <w:pStyle w:val="Style22"/>
        <w:tabs>
          <w:tab w:val="clear" w:pos="708"/>
          <w:tab w:val="left" w:pos="1134" w:leader="none"/>
        </w:tabs>
        <w:spacing w:before="0" w:after="0"/>
        <w:ind w:firstLine="709"/>
        <w:jc w:val="both"/>
        <w:rPr/>
      </w:pPr>
      <w:r>
        <w:rPr/>
        <w:t>4.</w:t>
        <w:tab/>
        <w:t xml:space="preserve">Персональный навигатор по финансам Моифинансы.рф [Электронный ресурс] – Режим доступа: https: https://моифинансы.рф/. </w:t>
      </w:r>
    </w:p>
    <w:p>
      <w:pPr>
        <w:pStyle w:val="Style22"/>
        <w:tabs>
          <w:tab w:val="clear" w:pos="708"/>
          <w:tab w:val="left" w:pos="1134" w:leader="none"/>
        </w:tabs>
        <w:spacing w:before="0" w:after="0"/>
        <w:ind w:firstLine="709"/>
        <w:jc w:val="both"/>
        <w:rPr/>
      </w:pPr>
      <w:r>
        <w:rPr/>
        <w:t>5.</w:t>
        <w:tab/>
        <w:t xml:space="preserve">Роспотребнадзор [Электронный ресурс] – Режим доступа: www.rospotrebnadzor.ru. </w:t>
      </w:r>
    </w:p>
    <w:p>
      <w:pPr>
        <w:pStyle w:val="Style22"/>
        <w:tabs>
          <w:tab w:val="clear" w:pos="708"/>
          <w:tab w:val="left" w:pos="1134" w:leader="none"/>
        </w:tabs>
        <w:spacing w:before="0" w:after="0"/>
        <w:ind w:firstLine="709"/>
        <w:jc w:val="both"/>
        <w:rPr/>
      </w:pPr>
      <w:r>
        <w:rPr/>
        <w:t>6.</w:t>
        <w:tab/>
        <w:t xml:space="preserve">Центр «Федеральный методический центр по финансовой грамотности системы общего и среднего профессионального образования» [Электронный ресурс] – Режим доступа: www.fmc.hse.ru. </w:t>
      </w:r>
    </w:p>
    <w:p>
      <w:pPr>
        <w:pStyle w:val="Style22"/>
        <w:tabs>
          <w:tab w:val="clear" w:pos="708"/>
          <w:tab w:val="left" w:pos="1134" w:leader="none"/>
        </w:tabs>
        <w:spacing w:before="0" w:after="0"/>
        <w:ind w:firstLine="709"/>
        <w:jc w:val="both"/>
        <w:rPr/>
      </w:pPr>
      <w:r>
        <w:rPr/>
        <w:t>7.</w:t>
        <w:tab/>
        <w:t xml:space="preserve">Центральный банк Российской Федерации [Электронный ресурс] – Режим доступа: http://www.cbr.ru. </w:t>
      </w:r>
    </w:p>
    <w:p>
      <w:pPr>
        <w:pStyle w:val="Style22"/>
        <w:tabs>
          <w:tab w:val="clear" w:pos="708"/>
          <w:tab w:val="left" w:pos="1134" w:leader="none"/>
        </w:tabs>
        <w:spacing w:before="0" w:after="0"/>
        <w:ind w:firstLine="709"/>
        <w:jc w:val="both"/>
        <w:rPr/>
      </w:pPr>
      <w:r>
        <w:rPr/>
        <w:t>8.</w:t>
        <w:tab/>
        <w:t xml:space="preserve">Федеральная налоговая служба [Электронный ресурс] – Режим доступа: www.nalog.ru. </w:t>
      </w:r>
    </w:p>
    <w:p>
      <w:pPr>
        <w:pStyle w:val="Style22"/>
        <w:tabs>
          <w:tab w:val="clear" w:pos="708"/>
          <w:tab w:val="left" w:pos="1134" w:leader="none"/>
        </w:tabs>
        <w:spacing w:before="0" w:after="0"/>
        <w:ind w:firstLine="709"/>
        <w:jc w:val="both"/>
        <w:rPr/>
      </w:pPr>
      <w:r>
        <w:rPr/>
        <w:t>9.</w:t>
        <w:tab/>
        <w:t xml:space="preserve">Федеральный методический центр по финансовой грамотности населения [Электронный ресурс] – Режим доступа: http://iurr.ranepa.ru/centry/finlit/. </w:t>
      </w:r>
    </w:p>
    <w:p>
      <w:pPr>
        <w:pStyle w:val="Style22"/>
        <w:tabs>
          <w:tab w:val="clear" w:pos="708"/>
          <w:tab w:val="left" w:pos="1134" w:leader="none"/>
        </w:tabs>
        <w:spacing w:before="0" w:after="0"/>
        <w:ind w:firstLine="709"/>
        <w:jc w:val="both"/>
        <w:rPr/>
      </w:pPr>
      <w:r>
        <w:rPr/>
        <w:t>10.</w:t>
        <w:tab/>
        <w:t>Финансовая культура [Электронный ресурс] – Режим доступа: https://fincult.info/.</w:t>
      </w:r>
    </w:p>
    <w:p>
      <w:pPr>
        <w:pStyle w:val="Style22"/>
        <w:tabs>
          <w:tab w:val="clear" w:pos="708"/>
          <w:tab w:val="left" w:pos="1134" w:leader="none"/>
        </w:tabs>
        <w:spacing w:before="0" w:after="0"/>
        <w:ind w:firstLine="709"/>
        <w:jc w:val="both"/>
        <w:rPr/>
      </w:pPr>
      <w:r>
        <w:rPr/>
        <w:t>11.</w:t>
        <w:tab/>
        <w:t>Электронный учебник по финансовой грамотности. [Электронный ресурс] – Режим доступа: https://школа.вашифинансы.рф/.</w:t>
      </w:r>
    </w:p>
    <w:p>
      <w:pPr>
        <w:pStyle w:val="Normal"/>
        <w:spacing w:lineRule="auto" w:line="240" w:before="0" w:after="0"/>
        <w:ind w:left="709" w:hanging="0"/>
        <w:rPr>
          <w:rStyle w:val="Style20"/>
          <w:rFonts w:eastAsia="Calibri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3.2.3</w:t>
      </w:r>
      <w:r>
        <w:rPr>
          <w:rFonts w:cs="Times New Roman"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П</w:t>
      </w:r>
      <w:r>
        <w:rPr>
          <w:rStyle w:val="Style20"/>
          <w:rFonts w:eastAsia="Calibri"/>
          <w:b/>
          <w:bCs/>
          <w:sz w:val="24"/>
          <w:szCs w:val="24"/>
        </w:rPr>
        <w:t>еречень нормативных правовых актов: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1.</w:t>
        <w:tab/>
        <w:t xml:space="preserve">Закон РФ от 27 ноября 1992 г. № 4015-1 «Об организации страхового дела в Российской Федерации».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</w:t>
        <w:tab/>
        <w:t xml:space="preserve">Федеральный закон от 2 декабря 1990 г. № 395-1 «О банках и банковской деятельности».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</w:t>
        <w:tab/>
        <w:t>Федеральный закон от 22 апреля 1996 г. № 39-ФЗ «О рынке ценных бумаг».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</w:t>
        <w:tab/>
        <w:t xml:space="preserve">Федеральный закон от 16 июля 1998 г. № 102-ФЗ «Об ипотеке (залоге недвижимости)».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</w:t>
        <w:tab/>
        <w:t xml:space="preserve">Федеральный закон от 7 августа 2001 г. № 115-ФЗ «О противодействии легализации (отмыванию) доходов, полученных преступным путем, и финансированию терроризма».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</w:t>
        <w:tab/>
        <w:t xml:space="preserve">Федеральный закон от 10 июля 2002 г. № 86-ФЗ «О Центральном банке Российской Федерации (Банке России)».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</w:t>
        <w:tab/>
        <w:t xml:space="preserve">Федеральный закон от 10 декабря 2003 г. № 173-ФЗ «О валютном регулировании и валютном контроле».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</w:t>
        <w:tab/>
        <w:t xml:space="preserve">Федеральный закон от 23 декабря 2003 г. № 177-ФЗ «О страховании вкладов в банках Российской Федерации».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</w:t>
        <w:tab/>
        <w:t>Федеральный закон от 30 декабря 2004 г. № 218-ФЗ «О кредитных историях».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10.</w:t>
        <w:tab/>
        <w:t xml:space="preserve">Федеральный закон от 27 июня 2011 г. № 161-ФЗ «О национальной платежной системе».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11.</w:t>
        <w:tab/>
        <w:t>Федеральный закон от 28 декабря 2013 г. № 400-ФЗ «О страховых пенсиях».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12.</w:t>
        <w:tab/>
        <w:t xml:space="preserve">Гражданский кодекс Российской Федерации. Ч. 2. Налоговый кодекс Российской Федерации. Ч. 2.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13.</w:t>
        <w:tab/>
        <w:t xml:space="preserve">Положение Банка России от 24 декабря 2004 г. № 266-П «Об эмиссии платежных карт и об операциях, совершаемых с их использованием».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14.</w:t>
        <w:tab/>
        <w:t>Положение Банка России от 29 июня 2021 г. № 762-П «О правилах осуществления перевода денежных средств».</w:t>
      </w:r>
    </w:p>
    <w:p>
      <w:pPr>
        <w:pStyle w:val="Style21"/>
        <w:widowControl w:val="false"/>
        <w:tabs>
          <w:tab w:val="clear" w:pos="708"/>
          <w:tab w:val="left" w:pos="709" w:leader="none"/>
          <w:tab w:val="left" w:pos="851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3.2.4 Перечень информационных справочных систем: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426" w:leader="none"/>
          <w:tab w:val="left" w:pos="1134" w:leader="none"/>
        </w:tabs>
        <w:spacing w:lineRule="auto" w:line="240" w:before="0" w:after="0"/>
        <w:ind w:left="0" w:firstLine="709"/>
        <w:jc w:val="both"/>
        <w:rPr/>
      </w:pPr>
      <w:r>
        <w:rPr>
          <w:rFonts w:cs="Times New Roman" w:ascii="Times New Roman" w:hAnsi="Times New Roman"/>
          <w:w w:val="104"/>
          <w:sz w:val="24"/>
          <w:szCs w:val="24"/>
        </w:rPr>
        <w:t xml:space="preserve">КонсультантПплюс : справочно-поисковая  система : официальный сайт. – URL  : </w:t>
      </w:r>
      <w:hyperlink r:id="rId8">
        <w:r>
          <w:rPr>
            <w:rStyle w:val="InternetLink"/>
            <w:rFonts w:cs="Times New Roman" w:ascii="Times New Roman" w:hAnsi="Times New Roman"/>
            <w:w w:val="104"/>
            <w:sz w:val="24"/>
            <w:szCs w:val="24"/>
          </w:rPr>
          <w:t>https://www.consultant.ru/</w:t>
        </w:r>
      </w:hyperlink>
      <w:r>
        <w:rPr>
          <w:rFonts w:cs="Times New Roman" w:ascii="Times New Roman" w:hAnsi="Times New Roman"/>
          <w:w w:val="104"/>
          <w:sz w:val="24"/>
          <w:szCs w:val="24"/>
        </w:rPr>
        <w:t>. - Текст : электронный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426" w:leader="none"/>
          <w:tab w:val="left" w:pos="1134" w:leader="none"/>
        </w:tabs>
        <w:spacing w:lineRule="auto" w:line="240" w:before="0" w:after="0"/>
        <w:ind w:left="0" w:firstLine="709"/>
        <w:jc w:val="both"/>
        <w:rPr/>
      </w:pPr>
      <w:r>
        <w:rPr>
          <w:rFonts w:cs="Times New Roman" w:ascii="Times New Roman" w:hAnsi="Times New Roman"/>
          <w:w w:val="104"/>
          <w:sz w:val="24"/>
          <w:szCs w:val="24"/>
        </w:rPr>
        <w:t>Гарант : информационно - правовой портал. – URL : https://www.garant.ru/ . – Текст : электронный.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426" w:leader="none"/>
          <w:tab w:val="left" w:pos="1134" w:leader="none"/>
        </w:tabs>
        <w:spacing w:lineRule="auto" w:line="240" w:before="0" w:after="0"/>
        <w:ind w:left="0" w:firstLine="709"/>
        <w:jc w:val="both"/>
        <w:rPr/>
      </w:pPr>
      <w:r>
        <w:rPr>
          <w:rFonts w:cs="Times New Roman" w:ascii="Times New Roman" w:hAnsi="Times New Roman"/>
          <w:w w:val="104"/>
          <w:sz w:val="24"/>
          <w:szCs w:val="24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: </w:t>
      </w:r>
      <w:hyperlink r:id="rId9">
        <w:r>
          <w:rPr>
            <w:rStyle w:val="InternetLink"/>
            <w:rFonts w:cs="Times New Roman" w:ascii="Times New Roman" w:hAnsi="Times New Roman"/>
            <w:w w:val="104"/>
            <w:sz w:val="24"/>
            <w:szCs w:val="24"/>
          </w:rPr>
          <w:t>https://umczdt.ru/books/</w:t>
        </w:r>
      </w:hyperlink>
      <w:r>
        <w:rPr>
          <w:rFonts w:cs="Times New Roman" w:ascii="Times New Roman" w:hAnsi="Times New Roman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426" w:leader="none"/>
          <w:tab w:val="left" w:pos="1134" w:leader="none"/>
        </w:tabs>
        <w:spacing w:lineRule="auto" w:line="240" w:before="0" w:after="0"/>
        <w:ind w:left="0" w:firstLine="709"/>
        <w:jc w:val="both"/>
        <w:rPr/>
      </w:pPr>
      <w:r>
        <w:rPr>
          <w:rFonts w:cs="Times New Roman" w:ascii="Times New Roman" w:hAnsi="Times New Roman"/>
          <w:w w:val="104"/>
          <w:sz w:val="24"/>
          <w:szCs w:val="24"/>
        </w:rPr>
        <w:t xml:space="preserve">Лань : электронная библиотечная система. – URL : </w:t>
      </w:r>
      <w:hyperlink r:id="rId10">
        <w:r>
          <w:rPr>
            <w:rStyle w:val="InternetLink"/>
            <w:rFonts w:cs="Times New Roman" w:ascii="Times New Roman" w:hAnsi="Times New Roman"/>
            <w:w w:val="104"/>
            <w:sz w:val="24"/>
            <w:szCs w:val="24"/>
          </w:rPr>
          <w:t>https://e.lanbook.com/</w:t>
        </w:r>
      </w:hyperlink>
      <w:r>
        <w:rPr>
          <w:rFonts w:cs="Times New Roman" w:ascii="Times New Roman" w:hAnsi="Times New Roman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426" w:leader="none"/>
          <w:tab w:val="left" w:pos="1134" w:leader="none"/>
        </w:tabs>
        <w:spacing w:lineRule="auto" w:line="240" w:before="0" w:after="0"/>
        <w:ind w:left="0" w:firstLine="709"/>
        <w:jc w:val="both"/>
        <w:rPr/>
      </w:pPr>
      <w:r>
        <w:rPr>
          <w:rFonts w:cs="Times New Roman" w:ascii="Times New Roman" w:hAnsi="Times New Roman"/>
          <w:w w:val="104"/>
          <w:sz w:val="24"/>
          <w:szCs w:val="24"/>
        </w:rPr>
        <w:t xml:space="preserve">BOOK.ru: электронно-библиотечная система : сайт / КНОРУС : издательство учебной литературы. – URL : </w:t>
      </w:r>
      <w:hyperlink r:id="rId11">
        <w:r>
          <w:rPr>
            <w:rStyle w:val="InternetLink"/>
            <w:rFonts w:cs="Times New Roman" w:ascii="Times New Roman" w:hAnsi="Times New Roman"/>
            <w:w w:val="104"/>
            <w:sz w:val="24"/>
            <w:szCs w:val="24"/>
          </w:rPr>
          <w:t>https://book.ru/</w:t>
        </w:r>
      </w:hyperlink>
      <w:r>
        <w:rPr>
          <w:rFonts w:cs="Times New Roman" w:ascii="Times New Roman" w:hAnsi="Times New Roman"/>
          <w:w w:val="104"/>
          <w:sz w:val="24"/>
          <w:szCs w:val="24"/>
        </w:rPr>
        <w:t>. – Режим доступа: для авториз. пользователей  - Текст : электронный.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426" w:leader="none"/>
          <w:tab w:val="left" w:pos="1134" w:leader="none"/>
        </w:tabs>
        <w:spacing w:lineRule="auto" w:line="240" w:before="0" w:after="0"/>
        <w:ind w:left="0" w:firstLine="709"/>
        <w:jc w:val="both"/>
        <w:rPr/>
      </w:pPr>
      <w:r>
        <w:rPr>
          <w:rFonts w:cs="Times New Roman" w:ascii="Times New Roman" w:hAnsi="Times New Roman"/>
          <w:w w:val="104"/>
          <w:sz w:val="24"/>
          <w:szCs w:val="24"/>
        </w:rPr>
        <w:t xml:space="preserve">eLIBRARY.RU : научная электронная библиотека : сайт. – Москва, 2000. – URL : </w:t>
      </w:r>
      <w:hyperlink r:id="rId12">
        <w:r>
          <w:rPr>
            <w:rStyle w:val="InternetLink"/>
            <w:rFonts w:cs="Times New Roman" w:ascii="Times New Roman" w:hAnsi="Times New Roman"/>
            <w:w w:val="104"/>
            <w:sz w:val="24"/>
            <w:szCs w:val="24"/>
          </w:rPr>
          <w:t>http://elibrary.ru</w:t>
        </w:r>
      </w:hyperlink>
      <w:r>
        <w:rPr>
          <w:rFonts w:cs="Times New Roman" w:ascii="Times New Roman" w:hAnsi="Times New Roman"/>
          <w:w w:val="104"/>
          <w:sz w:val="24"/>
          <w:szCs w:val="24"/>
        </w:rPr>
        <w:t>. – Режим доступа: для зарегистрир.. пользователей. – Текст : электронный.</w:t>
      </w:r>
      <w:r>
        <w:br w:type="page"/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4. КОНТРОЛЬ И ОЦЕНКА РЕЗУЛЬТАТОВ ОСВОЕНИЯ УЧЕБНОЙ ДИСЦИПЛИНЫ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hd w:fill="FFFFFF" w:val="clear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Cs/>
          <w:sz w:val="24"/>
          <w:szCs w:val="24"/>
        </w:rPr>
        <w:t xml:space="preserve">Контроль и оценка </w:t>
      </w:r>
      <w:r>
        <w:rPr>
          <w:rFonts w:cs="Times New Roman"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теоретических, практических занятий, выполнения обучающимися индивидуальных заданий.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Промежуточная аттестация в форме </w:t>
      </w:r>
      <w:r>
        <w:rPr>
          <w:rFonts w:cs="Times New Roman" w:ascii="Times New Roman" w:hAnsi="Times New Roman"/>
          <w:i/>
          <w:sz w:val="24"/>
          <w:szCs w:val="24"/>
        </w:rPr>
        <w:t>дифференцированного зачета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570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3"/>
        <w:gridCol w:w="3545"/>
        <w:gridCol w:w="2232"/>
      </w:tblGrid>
      <w:tr>
        <w:trPr/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</w:rPr>
              <w:t>Результаты обучения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200"/>
              <w:ind w:hanging="2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</w:rPr>
              <w:t>Критерии оценки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200"/>
              <w:ind w:hanging="2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</w:rPr>
              <w:t>Методы оценки</w:t>
            </w:r>
          </w:p>
        </w:tc>
      </w:tr>
      <w:tr>
        <w:trPr>
          <w:cantSplit w:val="true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>Знать</w:t>
            </w: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</w:rPr>
              <w:t>:</w:t>
            </w:r>
          </w:p>
          <w:p>
            <w:pPr>
              <w:pStyle w:val="Normal"/>
              <w:pBdr/>
              <w:spacing w:lineRule="auto" w:line="240" w:before="0" w:after="0"/>
              <w:ind w:hanging="2"/>
              <w:rPr/>
            </w:pP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актуальный профессиональный и социальный контекст, в котором работаешь и живешь;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pBdr/>
              <w:snapToGrid w:val="false"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keepNext w:val="true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демонстрирует знания особенностей профессионального и социального контекста; </w:t>
            </w:r>
          </w:p>
        </w:tc>
        <w:tc>
          <w:tcPr>
            <w:tcW w:w="2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/>
              <w:ind w:hanging="2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i/>
              </w:rPr>
              <w:t>Оценка результатов устного опроса;</w:t>
            </w:r>
          </w:p>
          <w:p>
            <w:pPr>
              <w:pStyle w:val="Normal"/>
              <w:pBdr/>
              <w:spacing w:lineRule="auto" w:line="240"/>
              <w:ind w:hanging="2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i/>
              </w:rPr>
              <w:t>Оценка результатов практической работы;</w:t>
            </w:r>
          </w:p>
          <w:p>
            <w:pPr>
              <w:pStyle w:val="Normal"/>
              <w:pBdr/>
              <w:spacing w:lineRule="auto" w:line="240"/>
              <w:ind w:hanging="2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i/>
              </w:rPr>
              <w:t>Оценка результатов тестирования;</w:t>
            </w:r>
          </w:p>
          <w:p>
            <w:pPr>
              <w:pStyle w:val="Normal"/>
              <w:pBdr/>
              <w:spacing w:lineRule="auto" w:line="240"/>
              <w:ind w:hanging="2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i/>
              </w:rPr>
              <w:t>Самооценка своего знания, осуществляемая обучающимися</w:t>
            </w:r>
          </w:p>
          <w:p>
            <w:pPr>
              <w:pStyle w:val="Normal"/>
              <w:pBdr/>
              <w:spacing w:lineRule="auto" w:line="240" w:before="0" w:after="200"/>
              <w:ind w:hanging="2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i/>
              </w:rPr>
              <w:t>Экспертное наблюдение за ходом выполнения учебных заданий</w:t>
            </w:r>
          </w:p>
        </w:tc>
      </w:tr>
      <w:tr>
        <w:trPr>
          <w:trHeight w:val="960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основные источники информации и ресурсы для решения задач в профессиональном и социальном контексте;</w:t>
            </w:r>
          </w:p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ориентируется в источниках информации и ресурсах для решения задач в профессиональном и социальном контексте;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737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- алгоритмы выполнения работ в профессиональной и смежных областях; 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способен сформулировать алгоритм выполнения работ в профессиональной и смежных областях; 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критерии оценки результатов принятого решения в профессиональной деятельности, для личностного развития и достижения финансового благополучия;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может назвать критерии оценки результатов принятого решения в профессиональной деятельности, для личностного развития и достижения финансового благополучия; 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-  информационные источники, используемые в профессиональной деятельности; для решения задач личностного развития и финансового благополучия; </w:t>
            </w:r>
          </w:p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может объяснить, как пользоваться цифровыми средствами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формат представления результатов поиска информации;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демонстрирует знания о том, как представлять результаты поиска информации; 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возможности использования различных цифровых средств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может охарактеризовать возможности различных цифровых средств, используемых для решения профессиональных задач, задач личностного развития и финансового благополучия;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актуальную нормативно-правовую базу, регламентирующую профессиональную деятельность, предпринимательство и личное финансовое планирование; 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ориентируется в нормативно-правовой базе, регламентирующей профессиональную деятельность, предпринимательство и личное финансовое планирование; 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возможные траектории профессионального развития и самообразования;</w:t>
            </w:r>
          </w:p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способен определить возможные траектории профессионального развития и самообразования;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8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-различие между наличными и безналичными платежами, порядок использования их при оплате покупки; 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способен определить наиболее подходящие способы оплаты товаров и услуг в конкретных ситуациях;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8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понятие инфляции, ее влияние на решение финансовых задач в профессии, личном планировании;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демонстрирует понимание влияния инфляции на решение финансовых задач в профессии, личном планировании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8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понятие иностранной валюты и валютного курса;</w:t>
            </w:r>
          </w:p>
          <w:p>
            <w:pPr>
              <w:pStyle w:val="Normal"/>
              <w:pBdr/>
              <w:spacing w:lineRule="auto" w:line="240" w:before="0" w:after="8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8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демонстрирует понимание валютных курсов и порядка проведения расчетов по обмену одной валюты на другую;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-структуру личных доходов и расходов, правила составления личного и семейного бюджета;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8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демонстрирует понимание правил составления личного и семейного бюджета;</w:t>
            </w:r>
          </w:p>
          <w:p>
            <w:pPr>
              <w:pStyle w:val="Normal"/>
              <w:keepNext w:val="true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особенности различных банковских продуктов и возможности их использования в профессиональной, предпринимательской деятельности и для управления личными финансами;</w:t>
            </w:r>
          </w:p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способен назвать банковские продукты, описать их особенности и возможности для профессиональной, предпринимательской деятельности и для управления личными финансами;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способен назвать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систему и полномочия государственных органов в сферах профессиональной деятельности, предпринимательской деятельности и защиты прав потребителей;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демонстрирует знания о государственных органах и их полномочиях в профессиональной и предпринимательской сферах, а также в сфере защиты прав потребителей;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особенности работы в малых и больших группах, работы в команде, организации коллективной работы;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способен охарактеризовать особенности работы в малых и больших группах, работы в команде, организации коллективной работы;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принципы организации проектной деятельности;</w:t>
            </w:r>
          </w:p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демонстрирует представление о принципах организации проектной деятельности;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- принципы взаимодействия в коллективе; 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демонстрирует представление о принципах взаимодействия в коллективе;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правила оформления документов и построения устных сообщений на государственном языке РФ;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демонстрирует знание правил оформления документов и построения устных сообщений на государственном языке РФ;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правила экологической безопасности; </w:t>
            </w:r>
          </w:p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демонстрирует знание правил экологической безопасности; 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93" w:hRule="atLeast"/>
          <w:cantSplit w:val="true"/>
        </w:trPr>
        <w:tc>
          <w:tcPr>
            <w:tcW w:w="3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- принципы бережливого производства. 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демонстрирует знание принципов бережливого производства.  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79" w:hRule="atLeast"/>
          <w:cantSplit w:val="true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0"/>
                <w:szCs w:val="20"/>
              </w:rPr>
              <w:t>Уметь</w:t>
            </w: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</w:rPr>
              <w:t>:</w:t>
            </w:r>
          </w:p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определять задачу в профессиональном и/или социальном контексте;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определяет задачу в профессиональном и/или социальном контексте; </w:t>
            </w:r>
          </w:p>
        </w:tc>
        <w:tc>
          <w:tcPr>
            <w:tcW w:w="2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/>
              <w:ind w:hanging="2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i/>
              </w:rPr>
              <w:t>Оценка результатов устного опроса;</w:t>
            </w:r>
          </w:p>
          <w:p>
            <w:pPr>
              <w:pStyle w:val="Normal"/>
              <w:pBdr/>
              <w:spacing w:lineRule="auto" w:line="240"/>
              <w:ind w:hanging="2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i/>
              </w:rPr>
              <w:t>Оценка результатов практической работы;</w:t>
            </w:r>
          </w:p>
          <w:p>
            <w:pPr>
              <w:pStyle w:val="Normal"/>
              <w:pBdr/>
              <w:spacing w:lineRule="auto" w:line="240"/>
              <w:ind w:hanging="2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i/>
              </w:rPr>
              <w:t>Оценка результатов тестирования;</w:t>
            </w:r>
          </w:p>
          <w:p>
            <w:pPr>
              <w:pStyle w:val="Normal"/>
              <w:pBdr/>
              <w:spacing w:lineRule="auto" w:line="240"/>
              <w:ind w:hanging="2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i/>
              </w:rPr>
              <w:t>Самооценка своего умения, осуществляемая обучающимися.</w:t>
            </w:r>
          </w:p>
          <w:p>
            <w:pPr>
              <w:pStyle w:val="Normal"/>
              <w:pBdr/>
              <w:spacing w:lineRule="auto" w:line="240"/>
              <w:ind w:hanging="2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i/>
              </w:rPr>
              <w:t>Экспертное наблюдение за ходом выполнения учебных заданий</w:t>
            </w:r>
          </w:p>
          <w:p>
            <w:pPr>
              <w:pStyle w:val="Normal"/>
              <w:pBdr/>
              <w:spacing w:lineRule="auto" w:line="240"/>
              <w:ind w:hanging="2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pBdr/>
              <w:spacing w:before="0" w:after="200"/>
              <w:ind w:hanging="2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762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-выявлять и отбирать информацию, необходимую для решения задачи;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осуществляет поиск и отбор информации, необходимой для решения задачи;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1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составлять план действий;</w:t>
            </w:r>
          </w:p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осуществляет планирование действий для решения задачи;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1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-определять необходимые ресурсы;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определяет ресурсы для решения задачи;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реализовывать составленный план;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выполняет составленный план;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1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оценивает полученный результат;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1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- определять задачи для сбора информации; 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определяет задачи для сбора информации;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631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планировать процесс поиска информации и осуществлять выбор необходимых источников;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планирует процесс поиска информации и осуществлять  выбор необходимых источников;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1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оформлять результаты поиска, пользоваться средствами информационных технологий для решения профессиональных задач,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представляет результаты поиска информации для решения профессиональных задач, задач личностного развития и финансового благополучия с применением средств информационных технологий;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1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использовать различные цифровые средства при решении профессиональных задач, задач личностного развития и финансового благополучия;</w:t>
            </w:r>
          </w:p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демонстрирует умение пользоваться цифровыми средствами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1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определять актуальность нормативно-правовой документации в профессиональной деятельности, для ведения предпринимательской деятельности и личного финансового планирования; 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использует актуальную нормативно-правовую документацию в профессиональной деятельности, для ведения предпринимательской деятельности и личного финансового планирования; 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1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- определять и выстраивать траектории профессионального и личностного развития; 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планирует траектории профессионального и личностного развития;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008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8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- осуществлять наличные и безналичные платежи, сравнивать различные способы оплаты товаров и услуг, соблюдать требования финансовой безопасности; </w:t>
            </w:r>
          </w:p>
          <w:p>
            <w:pPr>
              <w:pStyle w:val="Normal"/>
              <w:pBdr/>
              <w:spacing w:lineRule="auto" w:line="240" w:before="0" w:after="8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выполняет задания по выбору и использованию различных платежных инструментов в конкретной ситуации с учетом правил финансовой безопасности;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72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8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учитывать инфляцию при решении финансовых задач в профессии, личном планировании;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учитывает инфляцию при решении финансовых задач в профессии, личном планировании;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72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8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производить расчеты по валютно-обменным операциям;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производит расчеты по валютно-обменным операциям;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72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tabs>
                <w:tab w:val="clear" w:pos="708"/>
                <w:tab w:val="left" w:pos="1219" w:leader="none"/>
              </w:tabs>
              <w:spacing w:lineRule="auto" w:line="240" w:before="0" w:after="8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ab/>
              <w:t>-планировать личные доходы и расходы, принимать финансовые решения, составлять личный бюджет;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планирует личные доходы и расходы, принимать финансовые решения, составляет личный бюджет;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1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8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использовать разнообразие финансовых инструментов для управления личными финансами в целях   достижения финансового благополучия с учетом финансовой безопасности;</w:t>
            </w:r>
          </w:p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выполняет практические задания, основанные на использовании разнообразных финансовых инструментов для управления личными финансами в целях   достижения финансового благополучия с учетом финансовой безопасности; 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1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выявлять сильные и слабые стороны бизнес-идеи;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анализирует бизнес-идею;</w:t>
            </w:r>
          </w:p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1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- грамотно проводить презентацию бизнес-идеи открытия собственного дела в области профессиональной деятельности; 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проводит презентацию бизнес-идеи открытия собственного дела в области профессиональной деятельности;</w:t>
            </w:r>
          </w:p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1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определять источники финансирования для реализации бизнес-идеи;</w:t>
            </w:r>
          </w:p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предлагает возможные источники финансирования для реализации бизнес- идеи;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1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производить основные финансовые расчеты при планировании личных финансов;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проводит финансовые расчет, включая анализ расходов, необходимых для достижения цели, выполняет практические задания, основанные на ситуациях, связанных с различными финансовыми расчетами;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1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оценивать финансовые риски, связанные с осуществлением предпринимательской деятельности и планирования личных финансов;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проводит оценку возможных финансовых рисков, связанных с осуществлением предпринимательской деятельности и планирования личных финансов;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1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/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работать в коллективе и команде;</w:t>
            </w:r>
          </w:p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осуществляет коммуникации в соответствии с полученными знаниями и практическим опытом;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1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взаимодействовать с коллегами, руководством, клиентами, в ходе профессиональной и предпринимательской деятельности;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взаимодействует с коллегами, руководством, клиентами в модельных ситуациях профессиональной и предпринимательской деятельности с опорой на знания правил коммуникации;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1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грамотно излагать свои мысли, формулировать собственное мнение, обосновывать свою позицию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 учебных и практических ситуациях;</w:t>
            </w:r>
          </w:p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грамотно излагает собственную точку зрения с приведением аргументов;</w:t>
            </w:r>
          </w:p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1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проявлять толерантность в коллективе;</w:t>
            </w:r>
          </w:p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демонстрирует толерантное поведение;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1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оформлять документы, связанные с профессиональной деятельностью и деловой коммуникацией, на государственном языке РФ;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выполняет практические задания по заполнению документов на государственном языке РФ в соответствии с примерами;</w:t>
            </w:r>
          </w:p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21" w:hRule="atLeast"/>
          <w:cantSplit w:val="true"/>
        </w:trPr>
        <w:tc>
          <w:tcPr>
            <w:tcW w:w="37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соблюдать нормы экологической безопасности;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демонстрирует соблюдение норм экологической безопасности;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380" w:hRule="atLeast"/>
          <w:cantSplit w:val="true"/>
        </w:trPr>
        <w:tc>
          <w:tcPr>
            <w:tcW w:w="3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 определять направления ресурсосбережения в рамках профессиональной деятельности</w:t>
            </w:r>
            <w:r>
              <w:rPr>
                <w:rFonts w:eastAsia="Times New Roman" w:cs="Times New Roman" w:ascii="Times New Roman" w:hAnsi="Times New Roman"/>
                <w:i/>
                <w:sz w:val="20"/>
                <w:szCs w:val="20"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осуществлять работу с соблюдением принципов бережливого производства.</w:t>
            </w:r>
          </w:p>
          <w:p>
            <w:pPr>
              <w:pStyle w:val="Normal"/>
              <w:pBdr/>
              <w:spacing w:lineRule="auto" w:line="240"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pacing w:lineRule="auto" w:line="240" w:before="0" w:after="0"/>
              <w:ind w:hanging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демонстрирует понимание важности ресурсосбережения и определяет направления его применения.</w:t>
            </w:r>
          </w:p>
        </w:tc>
        <w:tc>
          <w:tcPr>
            <w:tcW w:w="22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snapToGrid w:val="false"/>
              <w:spacing w:before="0" w:after="0"/>
              <w:ind w:hanging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4"/>
          <w:szCs w:val="24"/>
          <w:lang w:eastAsia="zh-CN"/>
        </w:rPr>
      </w:pPr>
      <w:r>
        <w:br w:type="page"/>
      </w:r>
      <w:r>
        <w:rPr>
          <w:rFonts w:eastAsia="Times New Roman" w:cs="Times New Roman" w:ascii="Times New Roman" w:hAnsi="Times New Roman"/>
          <w:b/>
          <w:sz w:val="24"/>
          <w:szCs w:val="24"/>
          <w:lang w:eastAsia="zh-CN"/>
        </w:rPr>
      </w:r>
    </w:p>
    <w:p>
      <w:pPr>
        <w:pStyle w:val="21"/>
        <w:widowControl w:val="false"/>
        <w:spacing w:lineRule="auto" w:line="240" w:before="0" w:after="0"/>
        <w:jc w:val="center"/>
        <w:rPr>
          <w:b/>
          <w:b/>
        </w:rPr>
      </w:pPr>
      <w:r>
        <w:rPr>
          <w:b/>
        </w:rPr>
        <w:t>5. ПЕРЕЧЕНЬ ИСПОЛЬЗУЕМЫХ МЕТОДОВ ОБУЧЕНИЯ</w:t>
      </w:r>
    </w:p>
    <w:p>
      <w:pPr>
        <w:pStyle w:val="21"/>
        <w:widowControl w:val="false"/>
        <w:spacing w:lineRule="auto" w:line="240" w:before="0" w:after="0"/>
        <w:jc w:val="both"/>
        <w:rPr>
          <w:b/>
          <w:b/>
          <w:shd w:fill="FFFF00" w:val="clear"/>
        </w:rPr>
      </w:pPr>
      <w:r>
        <w:rPr>
          <w:b/>
          <w:shd w:fill="FFFF00" w:val="clear"/>
        </w:rPr>
      </w:r>
    </w:p>
    <w:p>
      <w:pPr>
        <w:pStyle w:val="Style21"/>
        <w:numPr>
          <w:ilvl w:val="1"/>
          <w:numId w:val="7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Пассивные:</w:t>
      </w:r>
    </w:p>
    <w:p>
      <w:pPr>
        <w:pStyle w:val="Normal"/>
        <w:spacing w:lineRule="auto" w:line="240" w:before="0" w:after="0"/>
        <w:ind w:left="4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>
      <w:pPr>
        <w:pStyle w:val="Normal"/>
        <w:spacing w:lineRule="auto" w:line="240" w:before="0" w:after="0"/>
        <w:ind w:left="4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демонстрация учебных фильмов;</w:t>
      </w:r>
    </w:p>
    <w:p>
      <w:pPr>
        <w:pStyle w:val="Normal"/>
        <w:spacing w:lineRule="auto" w:line="240" w:before="0" w:after="0"/>
        <w:ind w:left="4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рассказ;</w:t>
      </w:r>
    </w:p>
    <w:p>
      <w:pPr>
        <w:pStyle w:val="Normal"/>
        <w:spacing w:lineRule="auto" w:line="240" w:before="0" w:after="0"/>
        <w:ind w:left="4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>
      <w:pPr>
        <w:pStyle w:val="Normal"/>
        <w:spacing w:lineRule="auto" w:line="240" w:before="0" w:after="0"/>
        <w:ind w:left="4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тесты;</w:t>
      </w:r>
    </w:p>
    <w:p>
      <w:pPr>
        <w:pStyle w:val="Normal"/>
        <w:spacing w:lineRule="auto" w:line="240" w:before="0" w:after="0"/>
        <w:ind w:left="4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чтение и опрос.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Style21"/>
        <w:numPr>
          <w:ilvl w:val="1"/>
          <w:numId w:val="5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Активные и интерактивные: </w:t>
      </w:r>
    </w:p>
    <w:p>
      <w:pPr>
        <w:pStyle w:val="Normal"/>
        <w:spacing w:lineRule="auto" w:line="240" w:before="0" w:after="0"/>
        <w:ind w:left="4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активные и интерактивные лекции;</w:t>
      </w:r>
    </w:p>
    <w:p>
      <w:pPr>
        <w:pStyle w:val="Normal"/>
        <w:spacing w:lineRule="auto" w:line="240" w:before="0" w:after="0"/>
        <w:ind w:left="4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работа в группах;</w:t>
      </w:r>
    </w:p>
    <w:p>
      <w:pPr>
        <w:pStyle w:val="Normal"/>
        <w:spacing w:lineRule="auto" w:line="240" w:before="0" w:after="0"/>
        <w:ind w:left="4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учебная дискуссия;</w:t>
      </w:r>
    </w:p>
    <w:p>
      <w:pPr>
        <w:pStyle w:val="Normal"/>
        <w:spacing w:lineRule="auto" w:line="240" w:before="0" w:after="0"/>
        <w:ind w:left="4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деловые и ролевые игры;</w:t>
      </w:r>
    </w:p>
    <w:p>
      <w:pPr>
        <w:pStyle w:val="Normal"/>
        <w:spacing w:lineRule="auto" w:line="240" w:before="0" w:after="0"/>
        <w:ind w:left="4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игровые упражнения;</w:t>
      </w:r>
    </w:p>
    <w:p>
      <w:pPr>
        <w:pStyle w:val="Normal"/>
        <w:spacing w:lineRule="auto" w:line="240" w:before="0" w:after="0"/>
        <w:ind w:left="4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творческие задания;</w:t>
      </w:r>
    </w:p>
    <w:p>
      <w:pPr>
        <w:pStyle w:val="Normal"/>
        <w:spacing w:lineRule="auto" w:line="240" w:before="0" w:after="0"/>
        <w:ind w:left="4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круглые столы (конференции) с использованием средств мультимедиа;</w:t>
      </w:r>
    </w:p>
    <w:p>
      <w:pPr>
        <w:pStyle w:val="Normal"/>
        <w:spacing w:lineRule="auto" w:line="240" w:before="0" w:after="0"/>
        <w:ind w:left="4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решение проблемных задач;</w:t>
      </w:r>
    </w:p>
    <w:p>
      <w:pPr>
        <w:pStyle w:val="Normal"/>
        <w:spacing w:lineRule="auto" w:line="240" w:before="0" w:after="0"/>
        <w:ind w:left="4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анализ конкретных ситуаций;</w:t>
      </w:r>
    </w:p>
    <w:p>
      <w:pPr>
        <w:pStyle w:val="Normal"/>
        <w:spacing w:lineRule="auto" w:line="240" w:before="0" w:after="0"/>
        <w:ind w:left="4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метод модульного обучения;</w:t>
      </w:r>
    </w:p>
    <w:p>
      <w:pPr>
        <w:pStyle w:val="Normal"/>
        <w:spacing w:lineRule="auto" w:line="240" w:before="0" w:after="0"/>
        <w:ind w:left="42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практический эксперимент;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</w:t>
      </w:r>
      <w:r>
        <w:rPr>
          <w:rFonts w:cs="Times New Roman" w:ascii="Times New Roman" w:hAnsi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default" r:id="rId13"/>
      <w:footerReference w:type="default" r:id="rId14"/>
      <w:footnotePr>
        <w:numFmt w:val="decimal"/>
      </w:footnotePr>
      <w:type w:val="nextPage"/>
      <w:pgSz w:w="11906" w:h="16838"/>
      <w:pgMar w:left="1418" w:right="707" w:gutter="0" w:header="0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cc"/>
    <w:family w:val="swiss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Georgia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Lucida Sans Unicode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largest"/>
              <wp:docPr id="1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PageNumber"/>
                              <w:rFonts w:cs="Times New Roman" w:ascii="Times New Roman" w:hAnsi="Times New Roman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rFonts w:cs="Times New Roman"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rFonts w:cs="Times New Roman"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rFonts w:cs="Times New Roman" w:ascii="Times New Roman" w:hAnsi="Times New Roman"/>
                            </w:rPr>
                            <w:t>6</w:t>
                          </w:r>
                          <w:r>
                            <w:rPr>
                              <w:rStyle w:val="PageNumber"/>
                              <w:rFonts w:cs="Times New Roman"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503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PageNumber"/>
                        <w:rFonts w:ascii="Times New Roman" w:hAnsi="Times New Roman" w:cs="Times New Roman"/>
                      </w:rPr>
                    </w:pPr>
                    <w:r>
                      <w:rPr>
                        <w:rStyle w:val="PageNumber"/>
                        <w:rFonts w:cs="Times New Roman" w:ascii="Times New Roman" w:hAnsi="Times New Roman"/>
                      </w:rPr>
                      <w:fldChar w:fldCharType="begin"/>
                    </w:r>
                    <w:r>
                      <w:rPr>
                        <w:rStyle w:val="PageNumber"/>
                        <w:rFonts w:cs="Times New Roman" w:ascii="Times New Roman" w:hAnsi="Times New Roman"/>
                      </w:rPr>
                      <w:instrText xml:space="preserve"> PAGE </w:instrText>
                    </w:r>
                    <w:r>
                      <w:rPr>
                        <w:rStyle w:val="PageNumber"/>
                        <w:rFonts w:cs="Times New Roman" w:ascii="Times New Roman" w:hAnsi="Times New Roman"/>
                      </w:rPr>
                      <w:fldChar w:fldCharType="separate"/>
                    </w:r>
                    <w:r>
                      <w:rPr>
                        <w:rStyle w:val="PageNumber"/>
                        <w:rFonts w:cs="Times New Roman" w:ascii="Times New Roman" w:hAnsi="Times New Roman"/>
                      </w:rPr>
                      <w:t>6</w:t>
                    </w:r>
                    <w:r>
                      <w:rPr>
                        <w:rStyle w:val="PageNumber"/>
                        <w:rFonts w:cs="Times New Roman"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11</w:t>
    </w:r>
    <w:r>
      <w:rPr>
        <w:rFonts w:cs="Times New Roman" w:ascii="Times New Roman" w:hAnsi="Times New Roman"/>
      </w:rPr>
      <w:fldChar w:fldCharType="end"/>
    </w:r>
  </w:p>
  <w:p>
    <w:pPr>
      <w:pStyle w:val="Foo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1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largest"/>
              <wp:docPr id="3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6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Style w:val="PageNumber"/>
                              <w:rFonts w:cs="Times New Roman" w:ascii="Times New Roman" w:hAnsi="Times New Roman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rFonts w:cs="Times New Roman"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rFonts w:cs="Times New Roman"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rFonts w:cs="Times New Roman" w:ascii="Times New Roman" w:hAnsi="Times New Roman"/>
                            </w:rPr>
                            <w:t>24</w:t>
                          </w:r>
                          <w:r>
                            <w:rPr>
                              <w:rStyle w:val="PageNumber"/>
                              <w:rFonts w:cs="Times New Roman"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0.05pt;height:11.55pt;mso-wrap-distance-left:0pt;mso-wrap-distance-right:0pt;mso-wrap-distance-top:0pt;mso-wrap-distance-bottom:0pt;margin-top:0.05pt;mso-position-vertical-relative:text;margin-left:479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PageNumber"/>
                        <w:rFonts w:ascii="Times New Roman" w:hAnsi="Times New Roman" w:cs="Times New Roman"/>
                      </w:rPr>
                    </w:pPr>
                    <w:r>
                      <w:rPr>
                        <w:rStyle w:val="PageNumber"/>
                        <w:rFonts w:cs="Times New Roman" w:ascii="Times New Roman" w:hAnsi="Times New Roman"/>
                      </w:rPr>
                      <w:fldChar w:fldCharType="begin"/>
                    </w:r>
                    <w:r>
                      <w:rPr>
                        <w:rStyle w:val="PageNumber"/>
                        <w:rFonts w:cs="Times New Roman" w:ascii="Times New Roman" w:hAnsi="Times New Roman"/>
                      </w:rPr>
                      <w:instrText xml:space="preserve"> PAGE </w:instrText>
                    </w:r>
                    <w:r>
                      <w:rPr>
                        <w:rStyle w:val="PageNumber"/>
                        <w:rFonts w:cs="Times New Roman" w:ascii="Times New Roman" w:hAnsi="Times New Roman"/>
                      </w:rPr>
                      <w:fldChar w:fldCharType="separate"/>
                    </w:r>
                    <w:r>
                      <w:rPr>
                        <w:rStyle w:val="PageNumber"/>
                        <w:rFonts w:cs="Times New Roman" w:ascii="Times New Roman" w:hAnsi="Times New Roman"/>
                      </w:rPr>
                      <w:t>24</w:t>
                    </w:r>
                    <w:r>
                      <w:rPr>
                        <w:rStyle w:val="PageNumber"/>
                        <w:rFonts w:cs="Times New Roman"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jc w:val="both"/>
        <w:rPr/>
      </w:pPr>
      <w:r>
        <w:rPr>
          <w:rStyle w:val="FootnoteCharacters"/>
        </w:rPr>
        <w:footnoteRef/>
      </w:r>
      <w:r>
        <w:rPr/>
        <w:t xml:space="preserve"> </w:t>
      </w:r>
      <w:r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708"/>
        <w:tab w:val="left" w:pos="9216" w:leader="none"/>
      </w:tabs>
      <w:rPr/>
    </w:pPr>
    <w:r>
      <w:rPr/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2771" w:hanging="360"/>
      </w:pPr>
      <w:rPr>
        <w:rFonts w:ascii="Symbol" w:hAnsi="Symbol" w:cs="Symbol" w:hint="default"/>
      </w:rPr>
    </w:lvl>
  </w:abstractNum>
  <w:abstractNum w:abstractNumId="5">
    <w:lvl w:ilvl="0">
      <w:start w:val="5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943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784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5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28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76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704" w:hanging="2160"/>
      </w:pPr>
    </w:lvl>
  </w:abstractNum>
  <w:abstractNum w:abstractNumId="6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1069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8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7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6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5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94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03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72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5"/>
    <w:lvlOverride w:ilvl="0"/>
    <w:lvlOverride w:ilvl="1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480" w:after="0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WW8Num1z0">
    <w:name w:val="WW8Num1z0"/>
    <w:qFormat/>
    <w:rPr>
      <w:b/>
    </w:rPr>
  </w:style>
  <w:style w:type="character" w:styleId="WW8Num2z0">
    <w:name w:val="WW8Num2z0"/>
    <w:qFormat/>
    <w:rPr>
      <w:rFonts w:ascii="Times New Roman" w:hAnsi="Times New Roman" w:eastAsia="Times New Roman" w:cs="Times New Roman"/>
      <w:w w:val="99"/>
      <w:sz w:val="26"/>
      <w:szCs w:val="26"/>
      <w:lang w:val="ru-RU" w:bidi="ar-SA"/>
    </w:rPr>
  </w:style>
  <w:style w:type="character" w:styleId="WW8Num2z1">
    <w:name w:val="WW8Num2z1"/>
    <w:qFormat/>
    <w:rPr>
      <w:lang w:val="ru-RU" w:bidi="ar-SA"/>
    </w:rPr>
  </w:style>
  <w:style w:type="character" w:styleId="WW8Num3z0">
    <w:name w:val="WW8Num3z0"/>
    <w:qFormat/>
    <w:rPr/>
  </w:style>
  <w:style w:type="character" w:styleId="WW8Num5z0">
    <w:name w:val="WW8Num5z0"/>
    <w:qFormat/>
    <w:rPr>
      <w:rFonts w:ascii="Symbol" w:hAnsi="Symbol" w:cs="Symbol"/>
      <w:w w:val="100"/>
      <w:sz w:val="28"/>
      <w:szCs w:val="28"/>
      <w:lang w:val="ru-RU" w:bidi="ar-SA"/>
    </w:rPr>
  </w:style>
  <w:style w:type="character" w:styleId="WW8Num5z1">
    <w:name w:val="WW8Num5z1"/>
    <w:qFormat/>
    <w:rPr>
      <w:lang w:val="ru-RU" w:bidi="ar-SA"/>
    </w:rPr>
  </w:style>
  <w:style w:type="character" w:styleId="WW8Num6z0">
    <w:name w:val="WW8Num6z0"/>
    <w:qFormat/>
    <w:rPr>
      <w:rFonts w:ascii="Times New Roman" w:hAnsi="Times New Roman" w:eastAsia="Times New Roman" w:cs="Times New Roman"/>
      <w:w w:val="100"/>
      <w:sz w:val="28"/>
      <w:szCs w:val="28"/>
      <w:lang w:val="ru-RU" w:bidi="ar-SA"/>
    </w:rPr>
  </w:style>
  <w:style w:type="character" w:styleId="WW8Num6z1">
    <w:name w:val="WW8Num6z1"/>
    <w:qFormat/>
    <w:rPr>
      <w:lang w:val="ru-RU" w:bidi="ar-SA"/>
    </w:rPr>
  </w:style>
  <w:style w:type="character" w:styleId="WW8Num8z0">
    <w:name w:val="WW8Num8z0"/>
    <w:qFormat/>
    <w:rPr>
      <w:lang w:val="ru-RU" w:bidi="ar-SA"/>
    </w:rPr>
  </w:style>
  <w:style w:type="character" w:styleId="WW8Num8z1">
    <w:name w:val="WW8Num8z1"/>
    <w:qFormat/>
    <w:rPr>
      <w:rFonts w:ascii="Times New Roman" w:hAnsi="Times New Roman" w:eastAsia="Times New Roman" w:cs="Times New Roman"/>
      <w:w w:val="99"/>
      <w:sz w:val="26"/>
      <w:szCs w:val="26"/>
      <w:lang w:val="ru-RU" w:bidi="ar-SA"/>
    </w:rPr>
  </w:style>
  <w:style w:type="character" w:styleId="WW8Num9z0">
    <w:name w:val="WW8Num9z0"/>
    <w:qFormat/>
    <w:rPr>
      <w:rFonts w:cs="Times New Roman"/>
    </w:rPr>
  </w:style>
  <w:style w:type="character" w:styleId="WW8Num11z0">
    <w:name w:val="WW8Num11z0"/>
    <w:qFormat/>
    <w:rPr/>
  </w:style>
  <w:style w:type="character" w:styleId="WW8Num12z0">
    <w:name w:val="WW8Num12z0"/>
    <w:qFormat/>
    <w:rPr>
      <w:lang w:val="ru-RU" w:bidi="ar-SA"/>
    </w:rPr>
  </w:style>
  <w:style w:type="character" w:styleId="WW8Num12z1">
    <w:name w:val="WW8Num12z1"/>
    <w:qFormat/>
    <w:rPr>
      <w:rFonts w:ascii="Times New Roman" w:hAnsi="Times New Roman" w:eastAsia="Times New Roman" w:cs="Times New Roman"/>
      <w:w w:val="99"/>
      <w:sz w:val="26"/>
      <w:szCs w:val="26"/>
      <w:lang w:val="ru-RU" w:bidi="ar-SA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>
      <w:b w:val="false"/>
    </w:rPr>
  </w:style>
  <w:style w:type="character" w:styleId="WW8Num15z0">
    <w:name w:val="WW8Num15z0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color w:val="000000"/>
    </w:rPr>
  </w:style>
  <w:style w:type="character" w:styleId="WW8Num17z0">
    <w:name w:val="WW8Num17z0"/>
    <w:qFormat/>
    <w:rPr>
      <w:color w:val="333333"/>
    </w:rPr>
  </w:style>
  <w:style w:type="character" w:styleId="WW8Num19z0">
    <w:name w:val="WW8Num19z0"/>
    <w:qFormat/>
    <w:rPr>
      <w:b w:val="false"/>
    </w:rPr>
  </w:style>
  <w:style w:type="character" w:styleId="WW8Num23z0">
    <w:name w:val="WW8Num23z0"/>
    <w:qFormat/>
    <w:rPr/>
  </w:style>
  <w:style w:type="character" w:styleId="WW8Num24z0">
    <w:name w:val="WW8Num24z0"/>
    <w:qFormat/>
    <w:rPr>
      <w:b w:val="false"/>
    </w:rPr>
  </w:style>
  <w:style w:type="character" w:styleId="WW8Num25z0">
    <w:name w:val="WW8Num25z0"/>
    <w:qFormat/>
    <w:rPr/>
  </w:style>
  <w:style w:type="character" w:styleId="Style13">
    <w:name w:val="Основной шрифт абзаца"/>
    <w:qFormat/>
    <w:rPr/>
  </w:style>
  <w:style w:type="character" w:styleId="1">
    <w:name w:val="Заголовок 1 Знак"/>
    <w:basedOn w:val="Style13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InternetLink">
    <w:name w:val="Hyperlink"/>
    <w:basedOn w:val="Style13"/>
    <w:rPr>
      <w:color w:val="0000FF"/>
      <w:u w:val="single"/>
    </w:rPr>
  </w:style>
  <w:style w:type="character" w:styleId="FootnoteCharacters">
    <w:name w:val="Footnote Characters"/>
    <w:qFormat/>
    <w:rPr>
      <w:rFonts w:cs="Times New Roman"/>
      <w:vertAlign w:val="superscript"/>
    </w:rPr>
  </w:style>
  <w:style w:type="character" w:styleId="2Georgia9pt">
    <w:name w:val="Основной текст (2) + Georgia;9 pt;Полужирный"/>
    <w:basedOn w:val="Style13"/>
    <w:qFormat/>
    <w:rPr>
      <w:rFonts w:ascii="Georgia" w:hAnsi="Georgia" w:eastAsia="Georgia" w:cs="Georgia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val="ru-RU" w:bidi="ru-RU"/>
    </w:rPr>
  </w:style>
  <w:style w:type="character" w:styleId="Style14">
    <w:name w:val="Основной текст Знак"/>
    <w:basedOn w:val="Style13"/>
    <w:qFormat/>
    <w:rPr/>
  </w:style>
  <w:style w:type="character" w:styleId="11">
    <w:name w:val="Основной текст Знак1"/>
    <w:basedOn w:val="Style13"/>
    <w:qFormat/>
    <w:rPr>
      <w:rFonts w:ascii="Times New Roman" w:hAnsi="Times New Roman" w:eastAsia="Calibri" w:cs="Times New Roman"/>
      <w:sz w:val="24"/>
      <w:szCs w:val="24"/>
    </w:rPr>
  </w:style>
  <w:style w:type="character" w:styleId="Style15">
    <w:name w:val="Нижний колонтитул Знак"/>
    <w:basedOn w:val="Style13"/>
    <w:qFormat/>
    <w:rPr/>
  </w:style>
  <w:style w:type="character" w:styleId="12">
    <w:name w:val="Нижний колонтитул Знак1"/>
    <w:basedOn w:val="Style13"/>
    <w:qFormat/>
    <w:rPr>
      <w:rFonts w:ascii="Cambria" w:hAnsi="Cambria" w:eastAsia="Calibri" w:cs="Times New Roman"/>
      <w:sz w:val="20"/>
      <w:szCs w:val="20"/>
    </w:rPr>
  </w:style>
  <w:style w:type="character" w:styleId="Style16">
    <w:name w:val="Текст сноски Знак"/>
    <w:basedOn w:val="Style13"/>
    <w:qFormat/>
    <w:rPr>
      <w:sz w:val="20"/>
      <w:szCs w:val="20"/>
    </w:rPr>
  </w:style>
  <w:style w:type="character" w:styleId="13">
    <w:name w:val="Текст сноски Знак1"/>
    <w:basedOn w:val="Style13"/>
    <w:qFormat/>
    <w:rPr>
      <w:rFonts w:ascii="Times New Roman" w:hAnsi="Times New Roman" w:eastAsia="Calibri" w:cs="Times New Roman"/>
      <w:sz w:val="20"/>
      <w:szCs w:val="20"/>
    </w:rPr>
  </w:style>
  <w:style w:type="character" w:styleId="Style17">
    <w:name w:val="Верхний колонтитул Знак"/>
    <w:basedOn w:val="Style13"/>
    <w:qFormat/>
    <w:rPr/>
  </w:style>
  <w:style w:type="character" w:styleId="PageNumber">
    <w:name w:val="Page Number"/>
    <w:basedOn w:val="Style13"/>
    <w:rPr/>
  </w:style>
  <w:style w:type="character" w:styleId="Style18">
    <w:name w:val="Текст выноски Знак"/>
    <w:basedOn w:val="Style13"/>
    <w:qFormat/>
    <w:rPr>
      <w:rFonts w:ascii="Tahoma" w:hAnsi="Tahoma" w:cs="Tahoma"/>
      <w:sz w:val="16"/>
      <w:szCs w:val="16"/>
    </w:rPr>
  </w:style>
  <w:style w:type="character" w:styleId="Style19">
    <w:name w:val="Абзац списка Знак"/>
    <w:qFormat/>
    <w:rPr/>
  </w:style>
  <w:style w:type="character" w:styleId="14">
    <w:name w:val="Основной текст1"/>
    <w:qFormat/>
    <w:rPr>
      <w:color w:val="000000"/>
      <w:spacing w:val="0"/>
      <w:w w:val="100"/>
      <w:position w:val="0"/>
      <w:sz w:val="27"/>
      <w:sz w:val="27"/>
      <w:szCs w:val="27"/>
      <w:vertAlign w:val="baseline"/>
      <w:lang w:val="ru-RU" w:bidi="ar-SA"/>
    </w:rPr>
  </w:style>
  <w:style w:type="character" w:styleId="2">
    <w:name w:val="Заголовок 2 Знак"/>
    <w:qFormat/>
    <w:rPr>
      <w:rFonts w:ascii="Arial" w:hAnsi="Arial" w:cs="Times New Roman"/>
      <w:b/>
      <w:bCs/>
      <w:i/>
      <w:iCs/>
      <w:w w:val="100"/>
      <w:position w:val="0"/>
      <w:sz w:val="28"/>
      <w:sz w:val="28"/>
      <w:szCs w:val="28"/>
      <w:vertAlign w:val="baseline"/>
      <w:em w:val="none"/>
    </w:rPr>
  </w:style>
  <w:style w:type="character" w:styleId="Style20">
    <w:name w:val="Основной текст_"/>
    <w:basedOn w:val="Style13"/>
    <w:qFormat/>
    <w:rPr>
      <w:rFonts w:ascii="Times New Roman" w:hAnsi="Times New Roman" w:eastAsia="Times New Roman" w:cs="Times New Roman"/>
      <w:sz w:val="19"/>
      <w:szCs w:val="19"/>
    </w:rPr>
  </w:style>
  <w:style w:type="character" w:styleId="FootnoteAnchor">
    <w:name w:val="Footnote Reference"/>
    <w:rPr>
      <w:vertAlign w:val="superscript"/>
    </w:rPr>
  </w:style>
  <w:style w:type="character" w:styleId="EndnoteAnchor">
    <w:name w:val="Endnote Reference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15"/>
    <w:pPr>
      <w:spacing w:lineRule="auto" w:line="240" w:before="0" w:after="120"/>
    </w:pPr>
    <w:rPr>
      <w:rFonts w:ascii="Times New Roman" w:hAnsi="Times New Roman" w:cs="Times New Roman"/>
      <w:sz w:val="24"/>
      <w:szCs w:val="24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21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15">
    <w:name w:val="Обычный1"/>
    <w:qFormat/>
    <w:pPr>
      <w:widowControl/>
      <w:suppressAutoHyphens w:val="true"/>
      <w:bidi w:val="0"/>
      <w:spacing w:lineRule="auto" w:line="244" w:before="0" w:after="200"/>
      <w:textAlignment w:val="baseline"/>
    </w:pPr>
    <w:rPr>
      <w:rFonts w:ascii="Cambria" w:hAnsi="Cambria" w:eastAsia="Calibri" w:cs="Cambria"/>
      <w:color w:val="auto"/>
      <w:sz w:val="22"/>
      <w:szCs w:val="22"/>
      <w:lang w:val="ru-RU" w:bidi="ar-SA" w:eastAsia="zh-CN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15"/>
    <w:pPr>
      <w:spacing w:lineRule="auto" w:line="240" w:before="0" w:after="0"/>
    </w:pPr>
    <w:rPr>
      <w:sz w:val="20"/>
      <w:szCs w:val="20"/>
    </w:rPr>
  </w:style>
  <w:style w:type="paragraph" w:styleId="Style22">
    <w:name w:val="Обычный (веб)"/>
    <w:basedOn w:val="15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Footnote">
    <w:name w:val="Footnote Text"/>
    <w:basedOn w:val="15"/>
    <w:pPr>
      <w:spacing w:lineRule="auto" w:line="240" w:before="0" w:after="0"/>
    </w:pPr>
    <w:rPr>
      <w:rFonts w:ascii="Times New Roman" w:hAnsi="Times New Roman" w:cs="Times New Roman"/>
      <w:sz w:val="20"/>
      <w:szCs w:val="20"/>
    </w:rPr>
  </w:style>
  <w:style w:type="paragraph" w:styleId="16">
    <w:name w:val="Абзац списка1"/>
    <w:basedOn w:val="Normal"/>
    <w:qFormat/>
    <w:pPr>
      <w:ind w:left="720" w:hanging="0"/>
    </w:pPr>
    <w:rPr>
      <w:rFonts w:ascii="Calibri" w:hAnsi="Calibri" w:eastAsia="Calibri" w:cs="Calibri"/>
    </w:rPr>
  </w:style>
  <w:style w:type="paragraph" w:styleId="TableParagraph">
    <w:name w:val="Table Paragraph"/>
    <w:basedOn w:val="Normal"/>
    <w:qFormat/>
    <w:pPr>
      <w:widowControl w:val="false"/>
      <w:autoSpaceDE w:val="false"/>
      <w:spacing w:lineRule="auto" w:line="240" w:before="0" w:after="0"/>
    </w:pPr>
    <w:rPr>
      <w:rFonts w:ascii="Lucida Sans Unicode" w:hAnsi="Lucida Sans Unicode" w:eastAsia="Lucida Sans Unicode" w:cs="Lucida Sans Unicode"/>
    </w:rPr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Style110">
    <w:name w:val="Style1"/>
    <w:basedOn w:val="Normal"/>
    <w:qFormat/>
    <w:pPr>
      <w:widowControl w:val="false"/>
      <w:suppressAutoHyphens w:val="true"/>
      <w:autoSpaceDE w:val="fals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Style23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21">
    <w:name w:val="Основной текст 21"/>
    <w:basedOn w:val="Normal"/>
    <w:qFormat/>
    <w:pPr>
      <w:suppressAutoHyphens w:val="true"/>
      <w:spacing w:lineRule="auto" w:line="480" w:before="0" w:after="12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24">
    <w:name w:val="......."/>
    <w:basedOn w:val="Normal"/>
    <w:next w:val="Normal"/>
    <w:qFormat/>
    <w:pPr>
      <w:autoSpaceDE w:val="false"/>
      <w:spacing w:lineRule="auto" w:line="240" w:before="0" w:after="0"/>
    </w:pPr>
    <w:rPr>
      <w:rFonts w:ascii="Times New Roman" w:hAnsi="Times New Roman" w:eastAsia="Calibri" w:cs="Times New Roman"/>
      <w:sz w:val="24"/>
      <w:szCs w:val="24"/>
    </w:rPr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hyperlink" Target="https://www.consultant.ru/" TargetMode="External"/><Relationship Id="rId9" Type="http://schemas.openxmlformats.org/officeDocument/2006/relationships/hyperlink" Target="https://umczdt.ru/books/" TargetMode="External"/><Relationship Id="rId10" Type="http://schemas.openxmlformats.org/officeDocument/2006/relationships/hyperlink" Target="https://e.lanbook.com/" TargetMode="External"/><Relationship Id="rId11" Type="http://schemas.openxmlformats.org/officeDocument/2006/relationships/hyperlink" Target="https://book.ru/" TargetMode="External"/><Relationship Id="rId12" Type="http://schemas.openxmlformats.org/officeDocument/2006/relationships/hyperlink" Target="http://elibrary.ru/" TargetMode="External"/><Relationship Id="rId13" Type="http://schemas.openxmlformats.org/officeDocument/2006/relationships/header" Target="header4.xml"/><Relationship Id="rId14" Type="http://schemas.openxmlformats.org/officeDocument/2006/relationships/footer" Target="footer4.xml"/><Relationship Id="rId15" Type="http://schemas.openxmlformats.org/officeDocument/2006/relationships/footnotes" Target="footnotes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Application>LibreOffice/7.4.7.2$Linux_X86_64 LibreOffice_project/40$Build-2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2024-12-23T14:34:00Z</dcterms:created>
  <dc:creator>yu.p.telegina</dc:creator>
  <dc:description/>
  <cp:keywords/>
  <dc:language>en-US</dc:language>
  <cp:lastModifiedBy>Ольга Трапицына</cp:lastModifiedBy>
  <cp:lastPrinted>2024-12-23T13:20:00Z</cp:lastPrinted>
  <dcterms:modified xsi:type="dcterms:W3CDTF">2025-06-04T17:48:00Z</dcterms:modified>
  <cp:revision>35</cp:revision>
  <dc:subject/>
  <dc:title/>
</cp:coreProperties>
</file>