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E12042" w:rsidRDefault="00E12042" w:rsidP="00E1204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(направление подготовки: вагоны)</w:t>
      </w:r>
    </w:p>
    <w:p w:rsidR="00E12042" w:rsidRDefault="00E12042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2A5447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 </w:t>
      </w:r>
      <w:r w:rsidR="0016296C">
        <w:rPr>
          <w:rFonts w:ascii="Times New Roman" w:hAnsi="Times New Roman"/>
          <w:b/>
          <w:sz w:val="24"/>
        </w:rPr>
        <w:t>ХИМИЯ</w:t>
      </w:r>
    </w:p>
    <w:p w:rsidR="00D404ED" w:rsidRPr="0016296C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96C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1A30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2A5447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8C66BB">
        <w:rPr>
          <w:rFonts w:ascii="Times New Roman" w:hAnsi="Times New Roman"/>
          <w:sz w:val="24"/>
          <w:szCs w:val="24"/>
        </w:rPr>
        <w:t>направление подготовки: в</w:t>
      </w:r>
      <w:r w:rsidR="00A318BA">
        <w:rPr>
          <w:rFonts w:ascii="Times New Roman" w:hAnsi="Times New Roman"/>
          <w:sz w:val="24"/>
          <w:szCs w:val="24"/>
        </w:rPr>
        <w:t>агоны)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Pr="008C66BB" w:rsidRDefault="00D404ED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16275 Осмотрщик-ремонтник вагонов</w:t>
      </w:r>
      <w:r w:rsidR="00A318BA">
        <w:rPr>
          <w:rFonts w:ascii="Times New Roman" w:eastAsia="Times New Roman" w:hAnsi="Times New Roman"/>
          <w:sz w:val="24"/>
          <w:szCs w:val="24"/>
        </w:rPr>
        <w:t xml:space="preserve">; 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>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5232AF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5232AF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5232AF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2AF" w:rsidTr="005232AF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A805E6" w:rsidRDefault="005232AF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A805E6" w:rsidRDefault="005232AF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Default="005232AF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2AF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5232AF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альдегидов и карбоновых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lastRenderedPageBreak/>
              <w:t>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751F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F60042" w:rsidP="00F6004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Pr="008D0DEC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8D0DEC" w:rsidRPr="008D0DEC" w:rsidRDefault="008D0DEC" w:rsidP="008D0D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8D0DEC" w:rsidRDefault="008D0DEC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92FDC"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 w:rsid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523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5232AF" w:rsidRDefault="005232AF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2AF" w:rsidTr="005232AF">
        <w:trPr>
          <w:trHeight w:val="55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C200E4" w:rsidRDefault="005232AF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A805E6" w:rsidRDefault="005232AF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5232AF" w:rsidRDefault="005232AF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2AF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5232AF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5232AF" w:rsidRDefault="005232AF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2AF" w:rsidTr="005232AF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C200E4" w:rsidRDefault="005232AF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A805E6" w:rsidRDefault="005232AF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2AF" w:rsidRPr="00A805E6" w:rsidRDefault="005232AF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2AF" w:rsidRDefault="005232AF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16" w:rsidRDefault="00F66216" w:rsidP="00D404ED">
      <w:pPr>
        <w:spacing w:after="0" w:line="240" w:lineRule="auto"/>
      </w:pPr>
      <w:r>
        <w:separator/>
      </w:r>
    </w:p>
  </w:endnote>
  <w:endnote w:type="continuationSeparator" w:id="0">
    <w:p w:rsidR="00F66216" w:rsidRDefault="00F66216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Content>
      <w:p w:rsidR="005232AF" w:rsidRDefault="005232A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2F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2AF" w:rsidRDefault="005232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Content>
      <w:p w:rsidR="005232AF" w:rsidRDefault="005232A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2F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2AF" w:rsidRDefault="005232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AF" w:rsidRDefault="005232A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AF" w:rsidRDefault="005232AF">
    <w:pPr>
      <w:pStyle w:val="a7"/>
      <w:jc w:val="right"/>
    </w:pPr>
  </w:p>
  <w:p w:rsidR="005232AF" w:rsidRDefault="005232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Content>
      <w:p w:rsidR="005232AF" w:rsidRDefault="005232AF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232AF" w:rsidRDefault="005232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16" w:rsidRDefault="00F66216" w:rsidP="00D404ED">
      <w:pPr>
        <w:spacing w:after="0" w:line="240" w:lineRule="auto"/>
      </w:pPr>
      <w:r>
        <w:separator/>
      </w:r>
    </w:p>
  </w:footnote>
  <w:footnote w:type="continuationSeparator" w:id="0">
    <w:p w:rsidR="00F66216" w:rsidRDefault="00F66216" w:rsidP="00D404ED">
      <w:pPr>
        <w:spacing w:after="0" w:line="240" w:lineRule="auto"/>
      </w:pPr>
      <w:r>
        <w:continuationSeparator/>
      </w:r>
    </w:p>
  </w:footnote>
  <w:footnote w:id="1">
    <w:p w:rsidR="005232AF" w:rsidRDefault="005232AF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5232AF" w:rsidRDefault="005232AF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1DDB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1841"/>
    <w:rsid w:val="0016296C"/>
    <w:rsid w:val="0017164C"/>
    <w:rsid w:val="001848A9"/>
    <w:rsid w:val="001A302C"/>
    <w:rsid w:val="001A52B6"/>
    <w:rsid w:val="001D1FCF"/>
    <w:rsid w:val="001E2495"/>
    <w:rsid w:val="001F06B5"/>
    <w:rsid w:val="001F4B65"/>
    <w:rsid w:val="00201B96"/>
    <w:rsid w:val="00207672"/>
    <w:rsid w:val="00223B0A"/>
    <w:rsid w:val="00230236"/>
    <w:rsid w:val="002555A6"/>
    <w:rsid w:val="002743C9"/>
    <w:rsid w:val="00275211"/>
    <w:rsid w:val="00286DD8"/>
    <w:rsid w:val="002A5447"/>
    <w:rsid w:val="002C4B45"/>
    <w:rsid w:val="002D6E68"/>
    <w:rsid w:val="002E409F"/>
    <w:rsid w:val="00361270"/>
    <w:rsid w:val="00365E3F"/>
    <w:rsid w:val="003848FE"/>
    <w:rsid w:val="003B4739"/>
    <w:rsid w:val="003C2A31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32AF"/>
    <w:rsid w:val="00525854"/>
    <w:rsid w:val="0053620A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F1475"/>
    <w:rsid w:val="008104E6"/>
    <w:rsid w:val="00821884"/>
    <w:rsid w:val="008441D4"/>
    <w:rsid w:val="00845AA9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32DC"/>
    <w:rsid w:val="00992FDC"/>
    <w:rsid w:val="00994D56"/>
    <w:rsid w:val="009A23AD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025"/>
    <w:rsid w:val="00B17EBC"/>
    <w:rsid w:val="00B41CE2"/>
    <w:rsid w:val="00BE4618"/>
    <w:rsid w:val="00BF1A7C"/>
    <w:rsid w:val="00C61FC0"/>
    <w:rsid w:val="00C775C4"/>
    <w:rsid w:val="00C81711"/>
    <w:rsid w:val="00C87753"/>
    <w:rsid w:val="00C96EEC"/>
    <w:rsid w:val="00CC2D21"/>
    <w:rsid w:val="00CC2FDD"/>
    <w:rsid w:val="00CD190B"/>
    <w:rsid w:val="00CE30FE"/>
    <w:rsid w:val="00D13A87"/>
    <w:rsid w:val="00D27457"/>
    <w:rsid w:val="00D377F2"/>
    <w:rsid w:val="00D404ED"/>
    <w:rsid w:val="00D52DA2"/>
    <w:rsid w:val="00D55F1C"/>
    <w:rsid w:val="00D663DD"/>
    <w:rsid w:val="00D85DD2"/>
    <w:rsid w:val="00D91353"/>
    <w:rsid w:val="00D958C8"/>
    <w:rsid w:val="00DB2F59"/>
    <w:rsid w:val="00DF0EEF"/>
    <w:rsid w:val="00DF520B"/>
    <w:rsid w:val="00E03C92"/>
    <w:rsid w:val="00E1204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66216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59F7-1376-40D1-B157-E896067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B1B7-ADC4-4A9C-B0F9-6E3C076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6841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50</cp:revision>
  <cp:lastPrinted>2023-03-23T08:55:00Z</cp:lastPrinted>
  <dcterms:created xsi:type="dcterms:W3CDTF">2023-03-18T15:45:00Z</dcterms:created>
  <dcterms:modified xsi:type="dcterms:W3CDTF">2024-11-22T06:11:00Z</dcterms:modified>
</cp:coreProperties>
</file>