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EF7FEB" w:rsidRPr="005F6A12">
        <w:rPr>
          <w:rFonts w:ascii="Times New Roman" w:hAnsi="Times New Roman"/>
          <w:i/>
          <w:sz w:val="24"/>
          <w:szCs w:val="24"/>
        </w:rPr>
        <w:t>2</w:t>
      </w: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Приложение 9.3</w:t>
      </w:r>
      <w:r w:rsidR="00E63E35" w:rsidRPr="005F6A12">
        <w:rPr>
          <w:rFonts w:ascii="Times New Roman" w:hAnsi="Times New Roman" w:cs="Times New Roman"/>
          <w:sz w:val="24"/>
          <w:szCs w:val="24"/>
        </w:rPr>
        <w:t>.20</w:t>
      </w: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</w:t>
      </w:r>
      <w:r w:rsidR="0009423C">
        <w:rPr>
          <w:rFonts w:ascii="Times New Roman" w:hAnsi="Times New Roman"/>
          <w:b/>
          <w:i/>
          <w:sz w:val="24"/>
          <w:szCs w:val="24"/>
        </w:rPr>
        <w:t>2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ЭК.ОП.01.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ЭК.ОП.01.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CC1E26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F5CA2" w:rsidRPr="00EA44D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A44D5">
        <w:rPr>
          <w:rFonts w:ascii="Times New Roman" w:hAnsi="Times New Roman" w:cs="Times New Roman"/>
          <w:sz w:val="24"/>
          <w:szCs w:val="24"/>
        </w:rPr>
        <w:t>цикл</w:t>
      </w:r>
      <w:r w:rsidR="006F5CA2" w:rsidRPr="00EA44D5">
        <w:rPr>
          <w:rFonts w:ascii="Times New Roman" w:hAnsi="Times New Roman" w:cs="Times New Roman"/>
          <w:sz w:val="24"/>
          <w:szCs w:val="24"/>
        </w:rPr>
        <w:t>,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E63E35" w:rsidRPr="00EA44D5">
        <w:rPr>
          <w:rFonts w:ascii="Times New Roman" w:hAnsi="Times New Roman" w:cs="Times New Roman"/>
          <w:sz w:val="24"/>
          <w:szCs w:val="24"/>
        </w:rPr>
        <w:t>общепрофессиональная дисциплина.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r w:rsidRPr="00EA44D5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6F5CA2"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="006F5CA2"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планированию и организации   перевозочного процесса.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2.2 </w:t>
      </w:r>
      <w:r w:rsidRPr="00EA44D5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r w:rsidRPr="00EA44D5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A757B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CC1E26" w:rsidRPr="00EA44D5" w:rsidRDefault="0029642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757B8"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492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B129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лабораторные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F2E4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540EA9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A0B7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металлообнаружитель,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металлообнаружитель,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стационарные рентгеновские установки конвейерного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F6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1487F" w:rsidRPr="0041487F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A44D5" w:rsidRDefault="00EA44D5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продуктивный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r w:rsidR="008A720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5149F1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F3C8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металлообнаружитель,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металлообнаружитель,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стационарные рентгеновские установки конвейерного 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Новые разработки в сфере технических средств обеспечения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5F6A12" w:rsidTr="00B02CC2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5F6A12" w:rsidRDefault="00204C13" w:rsidP="006679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5F6A12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204C13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4C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41487F" w:rsidRPr="0041487F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A44D5" w:rsidRDefault="00EA44D5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 xml:space="preserve">, проекционное оборудование (мультимедийный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20B2E" w:rsidRDefault="00320B2E" w:rsidP="0032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B2E" w:rsidRPr="005F6A12" w:rsidRDefault="00320B2E" w:rsidP="0032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320B2E" w:rsidRPr="005F6A12" w:rsidRDefault="00320B2E" w:rsidP="0032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320B2E" w:rsidRPr="00B24523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Мартынова, Ю.А. Транспортная безопасность : учебное пособие / Ю. А. Мартынова. — Москва : УМЦ ЖДТ, 2022. — 104 с. — 978-5-907479-40-1. — Текст : электронный // УМЦ ЖДТ : электронная библиотека. — URL: https://umczdt.ru/books/1037/260710/. — Режим доступа: по подписке.</w:t>
      </w:r>
    </w:p>
    <w:p w:rsidR="00320B2E" w:rsidRPr="00B24523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ФЗ </w:t>
      </w:r>
      <w:r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B24523">
        <w:rPr>
          <w:rFonts w:ascii="Times New Roman" w:hAnsi="Times New Roman"/>
          <w:color w:val="000000"/>
          <w:sz w:val="24"/>
          <w:szCs w:val="24"/>
        </w:rPr>
        <w:t>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08.08.2024).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 // СПС КонсультантПлюс.</w:t>
      </w:r>
    </w:p>
    <w:p w:rsidR="00320B2E" w:rsidRPr="00B24523" w:rsidRDefault="00320B2E" w:rsidP="00320B2E">
      <w:pPr>
        <w:pStyle w:val="ab"/>
        <w:tabs>
          <w:tab w:val="left" w:pos="993"/>
        </w:tabs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320B2E" w:rsidRPr="00E75322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g15"/>
      <w:bookmarkEnd w:id="0"/>
      <w:r w:rsidRPr="002666C5">
        <w:rPr>
          <w:rFonts w:ascii="Times New Roman" w:hAnsi="Times New Roman"/>
          <w:color w:val="000000"/>
          <w:sz w:val="24"/>
          <w:szCs w:val="24"/>
        </w:rPr>
        <w:t>Актуальные проблемы правового обеспечения транспортной безопасности России в условиях современных вызовов и угроз : сборник статей / ; под ред. А. И. Землина, Коллектив авторов. — Москва : Русайнс, 2019. — 162 с. — ISBN 978-5-4365-3270-7. — URL: https://book.ru/book/934414. — Текст : электронный.</w:t>
      </w:r>
    </w:p>
    <w:p w:rsidR="00320B2E" w:rsidRPr="002666C5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Кочеткова, А.Е. Транспортная безопасность : / А. Е. Кочеткова. — Москва : УМЦ ЖДТ, 2024. — 244 с. — 978-5-907695-39-9. — Текст : электронный // УМЦ ЖДТ : электронная библиотека. — URL: https://umczdt.ru/books/971/290003/. — Режим доступа: по подписке.</w:t>
      </w:r>
    </w:p>
    <w:p w:rsidR="00320B2E" w:rsidRPr="005F6A12" w:rsidRDefault="00320B2E" w:rsidP="00320B2E">
      <w:pPr>
        <w:pStyle w:val="ab"/>
        <w:tabs>
          <w:tab w:val="left" w:pos="993"/>
        </w:tabs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>
        <w:rPr>
          <w:b/>
          <w:color w:val="000000"/>
        </w:rPr>
        <w:t>2.3.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КонсультантПплюс: справочно-поисковая  система: официальный сайт. – URL: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Гарант: информационно - правовой портал. – URL: https://www.garant.ru/ 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Кодекс: профессиональная справочная система. - URL: </w:t>
      </w:r>
      <w:hyperlink r:id="rId1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АСПИЖТ: система правовой информации на железнодорожном транспорте. – URL: </w:t>
      </w:r>
      <w:hyperlink r:id="rId12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транспорте: официальный сайт. – URL: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авториз. пользователей. -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Лань: электронная библиотечная система. – URL: </w:t>
      </w:r>
      <w:hyperlink r:id="rId14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авториз. пользователей. -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BOOK.ru: электронно-библиотечная система: сайт / КНОРУС: издательство учебной литературы. – URL: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авториз. пользователей  -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eLIBRARY.RU: научная электронная библиотека: сайт. – Москва, 2000. – URL : </w:t>
      </w:r>
      <w:hyperlink r:id="rId16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зарегистрир. пользователей.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транспорта Российской Федерации: официальный сайт. – Москва, 2010-2023. – URL: </w:t>
      </w:r>
      <w:hyperlink r:id="rId17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РЖД: официальный сайт. – URL: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Федеральное агентство железнодорожного транспорта: официальный сайт. – Москва, 2009-2023. – URL: </w:t>
      </w:r>
      <w:hyperlink r:id="rId19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СЦБИСТ: сайт железнодорожников № 1. – URL: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презентаций).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5F6A12">
        <w:rPr>
          <w:rFonts w:ascii="Times New Roman" w:hAnsi="Times New Roman"/>
          <w:sz w:val="24"/>
          <w:szCs w:val="24"/>
        </w:rPr>
        <w:t>дифференцированного зачета.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261"/>
        <w:gridCol w:w="4110"/>
        <w:gridCol w:w="2508"/>
      </w:tblGrid>
      <w:tr w:rsidR="000977CF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темам, защита практических занятий,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темам; защита практических занятий;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F43839" w:rsidRDefault="00246B57" w:rsidP="00F43839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З.2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 w:rsidR="00F43839"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</w:t>
            </w:r>
            <w:r w:rsidR="00440ACF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 xml:space="preserve"> 10</w:t>
            </w:r>
            <w:r w:rsidRPr="005F6A12">
              <w:rPr>
                <w:sz w:val="24"/>
                <w:szCs w:val="24"/>
              </w:rPr>
              <w:t>,13,27,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описание процедуры профайлинга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C9" w:rsidRPr="004C712E" w:rsidRDefault="001136C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136C9" w:rsidRPr="004C712E" w:rsidRDefault="001136C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EA44D5" w:rsidRDefault="0041487F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EA44D5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09423C">
      <w:rPr>
        <w:rStyle w:val="af1"/>
        <w:rFonts w:ascii="Times New Roman" w:hAnsi="Times New Roman"/>
        <w:noProof/>
      </w:rPr>
      <w:t>5</w:t>
    </w:r>
    <w:r w:rsidRPr="00EA44D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0662BA" w:rsidRDefault="0041487F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EA44D5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09423C">
      <w:rPr>
        <w:rFonts w:ascii="Times New Roman" w:hAnsi="Times New Roman"/>
        <w:noProof/>
      </w:rPr>
      <w:t>15</w:t>
    </w:r>
    <w:r w:rsidRPr="000662BA">
      <w:rPr>
        <w:rFonts w:ascii="Times New Roman" w:hAnsi="Times New Roman"/>
      </w:rPr>
      <w:fldChar w:fldCharType="end"/>
    </w:r>
  </w:p>
  <w:p w:rsidR="00EA44D5" w:rsidRDefault="00EA44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41487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4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4D5">
      <w:rPr>
        <w:rStyle w:val="af1"/>
        <w:noProof/>
      </w:rPr>
      <w:t>3</w:t>
    </w:r>
    <w:r>
      <w:rPr>
        <w:rStyle w:val="af1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320695" w:rsidRDefault="0041487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EA44D5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09423C">
      <w:rPr>
        <w:rStyle w:val="af1"/>
        <w:rFonts w:ascii="Times New Roman" w:hAnsi="Times New Roman"/>
        <w:noProof/>
      </w:rPr>
      <w:t>20</w:t>
    </w:r>
    <w:r w:rsidRPr="0032069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C9" w:rsidRPr="004C712E" w:rsidRDefault="001136C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136C9" w:rsidRPr="004C712E" w:rsidRDefault="001136C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A44D5" w:rsidRPr="00AC249E" w:rsidRDefault="00EA44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EA44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0710214"/>
    <w:multiLevelType w:val="hybridMultilevel"/>
    <w:tmpl w:val="E41A711C"/>
    <w:lvl w:ilvl="0" w:tplc="078E33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16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24"/>
  </w:num>
  <w:num w:numId="17">
    <w:abstractNumId w:val="10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BA0"/>
    <w:rsid w:val="000204C3"/>
    <w:rsid w:val="000328BA"/>
    <w:rsid w:val="00054CD7"/>
    <w:rsid w:val="000662BA"/>
    <w:rsid w:val="00075325"/>
    <w:rsid w:val="00077E2F"/>
    <w:rsid w:val="00084657"/>
    <w:rsid w:val="0009423C"/>
    <w:rsid w:val="000977CF"/>
    <w:rsid w:val="000A135B"/>
    <w:rsid w:val="000B5B53"/>
    <w:rsid w:val="000D0466"/>
    <w:rsid w:val="000D50A6"/>
    <w:rsid w:val="000F7591"/>
    <w:rsid w:val="001136C9"/>
    <w:rsid w:val="0012153E"/>
    <w:rsid w:val="00130B38"/>
    <w:rsid w:val="001317F7"/>
    <w:rsid w:val="0013666F"/>
    <w:rsid w:val="001430CE"/>
    <w:rsid w:val="00172681"/>
    <w:rsid w:val="001B048A"/>
    <w:rsid w:val="001D1916"/>
    <w:rsid w:val="001D50E5"/>
    <w:rsid w:val="001F68A7"/>
    <w:rsid w:val="002028EA"/>
    <w:rsid w:val="00204C13"/>
    <w:rsid w:val="002105DB"/>
    <w:rsid w:val="00217439"/>
    <w:rsid w:val="00226BAB"/>
    <w:rsid w:val="00246B57"/>
    <w:rsid w:val="0025197A"/>
    <w:rsid w:val="0025596A"/>
    <w:rsid w:val="0027305E"/>
    <w:rsid w:val="00282FC1"/>
    <w:rsid w:val="002922C5"/>
    <w:rsid w:val="00296428"/>
    <w:rsid w:val="00296C52"/>
    <w:rsid w:val="002F6BB6"/>
    <w:rsid w:val="00320695"/>
    <w:rsid w:val="00320B2E"/>
    <w:rsid w:val="003333F1"/>
    <w:rsid w:val="00335591"/>
    <w:rsid w:val="00363AA4"/>
    <w:rsid w:val="0041487F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F4A5B"/>
    <w:rsid w:val="004F6406"/>
    <w:rsid w:val="005149F1"/>
    <w:rsid w:val="00517EF1"/>
    <w:rsid w:val="0052746A"/>
    <w:rsid w:val="005342E8"/>
    <w:rsid w:val="00536931"/>
    <w:rsid w:val="00540EA9"/>
    <w:rsid w:val="0055671B"/>
    <w:rsid w:val="0058695D"/>
    <w:rsid w:val="005D3DE8"/>
    <w:rsid w:val="005F6A12"/>
    <w:rsid w:val="0062423C"/>
    <w:rsid w:val="00635422"/>
    <w:rsid w:val="006810BC"/>
    <w:rsid w:val="006D0DF2"/>
    <w:rsid w:val="006D4298"/>
    <w:rsid w:val="006F38CF"/>
    <w:rsid w:val="006F5CA2"/>
    <w:rsid w:val="00793B4C"/>
    <w:rsid w:val="007B3868"/>
    <w:rsid w:val="007C59AC"/>
    <w:rsid w:val="007D78C8"/>
    <w:rsid w:val="007F6884"/>
    <w:rsid w:val="00821100"/>
    <w:rsid w:val="00824AD3"/>
    <w:rsid w:val="00837E1C"/>
    <w:rsid w:val="0085093C"/>
    <w:rsid w:val="00855632"/>
    <w:rsid w:val="00882FEF"/>
    <w:rsid w:val="008A1C08"/>
    <w:rsid w:val="008A720A"/>
    <w:rsid w:val="008D10F3"/>
    <w:rsid w:val="008D63C1"/>
    <w:rsid w:val="009769EA"/>
    <w:rsid w:val="009B76E5"/>
    <w:rsid w:val="009F22CA"/>
    <w:rsid w:val="00A22857"/>
    <w:rsid w:val="00A2494E"/>
    <w:rsid w:val="00A329A0"/>
    <w:rsid w:val="00A62B8B"/>
    <w:rsid w:val="00A757B8"/>
    <w:rsid w:val="00A85EF1"/>
    <w:rsid w:val="00B02EFE"/>
    <w:rsid w:val="00B1762D"/>
    <w:rsid w:val="00B24523"/>
    <w:rsid w:val="00B46C1B"/>
    <w:rsid w:val="00B479AB"/>
    <w:rsid w:val="00B66A19"/>
    <w:rsid w:val="00B92850"/>
    <w:rsid w:val="00BB251F"/>
    <w:rsid w:val="00BB69F2"/>
    <w:rsid w:val="00BD5B2D"/>
    <w:rsid w:val="00C161B6"/>
    <w:rsid w:val="00C17089"/>
    <w:rsid w:val="00C20873"/>
    <w:rsid w:val="00C3099A"/>
    <w:rsid w:val="00C36DD6"/>
    <w:rsid w:val="00C432E6"/>
    <w:rsid w:val="00C51E3F"/>
    <w:rsid w:val="00C63E7B"/>
    <w:rsid w:val="00CA7C56"/>
    <w:rsid w:val="00CC1E26"/>
    <w:rsid w:val="00CC7F8E"/>
    <w:rsid w:val="00CD1AD8"/>
    <w:rsid w:val="00CE0C5A"/>
    <w:rsid w:val="00CE167D"/>
    <w:rsid w:val="00D16DB6"/>
    <w:rsid w:val="00D33AA1"/>
    <w:rsid w:val="00D740B3"/>
    <w:rsid w:val="00DB129A"/>
    <w:rsid w:val="00E12711"/>
    <w:rsid w:val="00E1767B"/>
    <w:rsid w:val="00E2415D"/>
    <w:rsid w:val="00E41BA0"/>
    <w:rsid w:val="00E63E35"/>
    <w:rsid w:val="00E70611"/>
    <w:rsid w:val="00E70B36"/>
    <w:rsid w:val="00EA2ADA"/>
    <w:rsid w:val="00EA44D5"/>
    <w:rsid w:val="00ED1113"/>
    <w:rsid w:val="00EF5128"/>
    <w:rsid w:val="00EF7FEB"/>
    <w:rsid w:val="00F36D7E"/>
    <w:rsid w:val="00F43839"/>
    <w:rsid w:val="00F46D57"/>
    <w:rsid w:val="00F47808"/>
    <w:rsid w:val="00F62283"/>
    <w:rsid w:val="00F66E59"/>
    <w:rsid w:val="00F73AFE"/>
    <w:rsid w:val="00F92A13"/>
    <w:rsid w:val="00F96F57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72</cp:revision>
  <dcterms:created xsi:type="dcterms:W3CDTF">2023-02-09T09:18:00Z</dcterms:created>
  <dcterms:modified xsi:type="dcterms:W3CDTF">2025-04-14T15:49:00Z</dcterms:modified>
</cp:coreProperties>
</file>