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EF7FEB" w:rsidRPr="005F6A12">
        <w:rPr>
          <w:rFonts w:ascii="Times New Roman" w:hAnsi="Times New Roman"/>
          <w:i/>
          <w:sz w:val="24"/>
          <w:szCs w:val="24"/>
        </w:rPr>
        <w:t>2</w:t>
      </w: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Приложение 9.3</w:t>
      </w:r>
      <w:r w:rsidR="00E63E35" w:rsidRPr="005F6A12">
        <w:rPr>
          <w:rFonts w:ascii="Times New Roman" w:hAnsi="Times New Roman" w:cs="Times New Roman"/>
          <w:sz w:val="24"/>
          <w:szCs w:val="24"/>
        </w:rPr>
        <w:t>.20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</w:t>
      </w:r>
      <w:r w:rsidR="005216EF">
        <w:rPr>
          <w:rFonts w:ascii="Times New Roman" w:hAnsi="Times New Roman"/>
          <w:b/>
          <w:i/>
          <w:sz w:val="24"/>
          <w:szCs w:val="24"/>
        </w:rPr>
        <w:t>2</w:t>
      </w:r>
      <w:r w:rsidR="00F3396E">
        <w:rPr>
          <w:rFonts w:ascii="Times New Roman" w:hAnsi="Times New Roman"/>
          <w:b/>
          <w:i/>
          <w:sz w:val="24"/>
          <w:szCs w:val="24"/>
        </w:rPr>
        <w:t>1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E63E35" w:rsidRPr="00EA44D5">
        <w:rPr>
          <w:rFonts w:ascii="Times New Roman" w:hAnsi="Times New Roman" w:cs="Times New Roman"/>
          <w:sz w:val="24"/>
          <w:szCs w:val="24"/>
        </w:rPr>
        <w:t xml:space="preserve">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r w:rsidRPr="00EA44D5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2.2 </w:t>
      </w:r>
      <w:r w:rsidRPr="00EA44D5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r w:rsidRPr="00EA44D5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F312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312A0"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сообщений </w:t>
            </w: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или</w:t>
            </w:r>
            <w:r w:rsidR="00F312A0"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докладов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стационарные рентгеновские установки конвейерного типа,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BE3CF2" w:rsidRPr="00BE3CF2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продуктивный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B4E20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1B4E20" w:rsidP="001B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B31F0A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B31F0A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BE3CF2" w:rsidRPr="00BE3CF2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>, проекционное оборудование (</w:t>
      </w:r>
      <w:proofErr w:type="spellStart"/>
      <w:r w:rsidRPr="00204C1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4C13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5F6A12" w:rsidRDefault="00204C13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="000D0466"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Мартынова, </w:t>
      </w:r>
      <w:r>
        <w:rPr>
          <w:rFonts w:ascii="Times New Roman" w:hAnsi="Times New Roman"/>
          <w:color w:val="000000"/>
          <w:sz w:val="24"/>
          <w:szCs w:val="24"/>
        </w:rPr>
        <w:t>Ю. А. Транспортная безопасность</w:t>
      </w:r>
      <w:r w:rsidRPr="00B24523">
        <w:rPr>
          <w:rFonts w:ascii="Times New Roman" w:hAnsi="Times New Roman"/>
          <w:color w:val="000000"/>
          <w:sz w:val="24"/>
          <w:szCs w:val="24"/>
        </w:rPr>
        <w:t>: учебное пособие  / А. Ю. Мартынова, Т. В. Полунина. -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УМЦ ЖДТ, 2022. - 104 с. -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http://umczdt.ru/books/1037/260710/. - Те</w:t>
      </w:r>
      <w:r>
        <w:rPr>
          <w:rFonts w:ascii="Times New Roman" w:hAnsi="Times New Roman"/>
          <w:color w:val="000000"/>
          <w:sz w:val="24"/>
          <w:szCs w:val="24"/>
        </w:rPr>
        <w:t>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>: ФЗ 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11.06.2021).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0D0466" w:rsidRPr="00B24523" w:rsidRDefault="000D0466" w:rsidP="00B24523">
      <w:pPr>
        <w:pStyle w:val="ab"/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 w:rsidR="00204C13"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B24523">
        <w:rPr>
          <w:rFonts w:ascii="Times New Roman" w:hAnsi="Times New Roman"/>
          <w:color w:val="000000"/>
          <w:sz w:val="24"/>
          <w:szCs w:val="24"/>
        </w:rPr>
        <w:t xml:space="preserve">Томилов, В. В. Транспортная безопасность : учебно-методическое пособие / В. В. Томилов, </w:t>
      </w:r>
      <w:r>
        <w:rPr>
          <w:rFonts w:ascii="Times New Roman" w:hAnsi="Times New Roman"/>
          <w:color w:val="000000"/>
          <w:sz w:val="24"/>
          <w:szCs w:val="24"/>
        </w:rPr>
        <w:t>П. Н. Блинов.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>: ФГБУ ДПО</w:t>
      </w:r>
      <w:r>
        <w:rPr>
          <w:rFonts w:ascii="Times New Roman" w:hAnsi="Times New Roman"/>
          <w:color w:val="000000"/>
          <w:sz w:val="24"/>
          <w:szCs w:val="24"/>
        </w:rPr>
        <w:t xml:space="preserve"> «УМЦ ЖДТ», 2020. – 72 с. – URL</w:t>
      </w:r>
      <w:r w:rsidRPr="00B24523">
        <w:rPr>
          <w:rFonts w:ascii="Times New Roman" w:hAnsi="Times New Roman"/>
          <w:color w:val="000000"/>
          <w:sz w:val="24"/>
          <w:szCs w:val="24"/>
        </w:rPr>
        <w:t>: http://umc</w:t>
      </w:r>
      <w:r>
        <w:rPr>
          <w:rFonts w:ascii="Times New Roman" w:hAnsi="Times New Roman"/>
          <w:color w:val="000000"/>
          <w:sz w:val="24"/>
          <w:szCs w:val="24"/>
        </w:rPr>
        <w:t>zdt.ru/books/49/242210/ -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электронный. </w:t>
      </w:r>
    </w:p>
    <w:p w:rsidR="00B24523" w:rsidRPr="00B24523" w:rsidRDefault="00B24523" w:rsidP="00B24523">
      <w:pPr>
        <w:numPr>
          <w:ilvl w:val="1"/>
          <w:numId w:val="24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А. И. Актуальные проблемы правового обеспечения транспортной безопасности России в услов</w:t>
      </w:r>
      <w:r>
        <w:rPr>
          <w:rFonts w:ascii="Times New Roman" w:hAnsi="Times New Roman"/>
          <w:color w:val="000000"/>
          <w:sz w:val="24"/>
          <w:szCs w:val="24"/>
        </w:rPr>
        <w:t>иях современных вызовов и угроз</w:t>
      </w:r>
      <w:r w:rsidRPr="00B24523">
        <w:rPr>
          <w:rFonts w:ascii="Times New Roman" w:hAnsi="Times New Roman"/>
          <w:color w:val="000000"/>
          <w:sz w:val="24"/>
          <w:szCs w:val="24"/>
        </w:rPr>
        <w:t>: сборник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статей /А.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Землин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Москва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, 2019. — 162 с. — ISBN 978-5-4365-3270-7. — URL: https</w:t>
      </w:r>
      <w:r>
        <w:rPr>
          <w:rFonts w:ascii="Times New Roman" w:hAnsi="Times New Roman"/>
          <w:color w:val="000000"/>
          <w:sz w:val="24"/>
          <w:szCs w:val="24"/>
        </w:rPr>
        <w:t>://book.ru/book/934414. —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электронный.</w:t>
      </w:r>
      <w:bookmarkStart w:id="0" w:name="Pg15"/>
      <w:bookmarkEnd w:id="0"/>
    </w:p>
    <w:p w:rsidR="000D0466" w:rsidRPr="005F6A12" w:rsidRDefault="000D0466" w:rsidP="00B24523">
      <w:pPr>
        <w:pStyle w:val="ab"/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 w:rsidR="00204C13">
        <w:rPr>
          <w:b/>
          <w:color w:val="000000"/>
        </w:rPr>
        <w:t>2.</w:t>
      </w:r>
      <w:r w:rsidR="00320695">
        <w:rPr>
          <w:b/>
          <w:color w:val="000000"/>
        </w:rPr>
        <w:t>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: справочно-поисковая  система: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информац</w:t>
      </w:r>
      <w:r w:rsidRPr="005F6A12">
        <w:rPr>
          <w:rFonts w:ascii="Times New Roman" w:hAnsi="Times New Roman"/>
          <w:w w:val="104"/>
          <w:sz w:val="24"/>
          <w:szCs w:val="24"/>
        </w:rPr>
        <w:t>ионно - правовой портал.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h</w:t>
      </w:r>
      <w:r w:rsidRPr="005F6A12">
        <w:rPr>
          <w:rFonts w:ascii="Times New Roman" w:hAnsi="Times New Roman"/>
          <w:w w:val="104"/>
          <w:sz w:val="24"/>
          <w:szCs w:val="24"/>
        </w:rPr>
        <w:t>ttps://www.garant.ru/ 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Кодекс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профессиона</w:t>
      </w:r>
      <w:r w:rsidRPr="005F6A12">
        <w:rPr>
          <w:rFonts w:ascii="Times New Roman" w:hAnsi="Times New Roman"/>
          <w:w w:val="104"/>
          <w:sz w:val="24"/>
          <w:szCs w:val="24"/>
        </w:rPr>
        <w:t>льная справочная система. -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АСПИЖТ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система правовой информации на железнодорожном транспорте. – URL: </w:t>
      </w:r>
      <w:hyperlink r:id="rId12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Электронная библиотека Учебно-методического центра по образовани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ю на железнодорожном транспорте: официальный сайт.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Лань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</w:t>
      </w:r>
      <w:r w:rsidRPr="005F6A12">
        <w:rPr>
          <w:rFonts w:ascii="Times New Roman" w:hAnsi="Times New Roman"/>
          <w:w w:val="104"/>
          <w:sz w:val="24"/>
          <w:szCs w:val="24"/>
        </w:rPr>
        <w:t>ная библиотечная система.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4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BOOK.ru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электронно-библиотечная система: сайт / КНОРУС</w:t>
      </w:r>
      <w:r w:rsidRPr="005F6A12">
        <w:rPr>
          <w:rFonts w:ascii="Times New Roman" w:hAnsi="Times New Roman"/>
          <w:w w:val="104"/>
          <w:sz w:val="24"/>
          <w:szCs w:val="24"/>
        </w:rPr>
        <w:t>: издатель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ство учебной литературы.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="002922C5"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="002922C5" w:rsidRPr="005F6A12">
        <w:rPr>
          <w:rFonts w:ascii="Times New Roman" w:hAnsi="Times New Roman"/>
          <w:w w:val="104"/>
          <w:sz w:val="24"/>
          <w:szCs w:val="24"/>
        </w:rPr>
        <w:t>. пользователей  -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Ibooks.ru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электронно-библиотечная сис</w:t>
      </w:r>
      <w:r w:rsidRPr="005F6A12">
        <w:rPr>
          <w:rFonts w:ascii="Times New Roman" w:hAnsi="Times New Roman"/>
          <w:w w:val="104"/>
          <w:sz w:val="24"/>
          <w:szCs w:val="24"/>
        </w:rPr>
        <w:t>тема. – Санкт-Петербург.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6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https://ibooks.ru/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proofErr w:type="spellEnd"/>
      <w:r w:rsidR="000D0466" w:rsidRPr="005F6A12">
        <w:rPr>
          <w:rFonts w:ascii="Times New Roman" w:hAnsi="Times New Roman"/>
          <w:w w:val="104"/>
          <w:sz w:val="24"/>
          <w:szCs w:val="24"/>
        </w:rPr>
        <w:t>: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научная электронная библиотека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сайт. – Москва, 2000. – URL : </w:t>
      </w:r>
      <w:hyperlink r:id="rId17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="000D0466" w:rsidRPr="005F6A12">
        <w:rPr>
          <w:rFonts w:ascii="Times New Roman" w:hAnsi="Times New Roman"/>
          <w:w w:val="104"/>
          <w:sz w:val="24"/>
          <w:szCs w:val="24"/>
        </w:rPr>
        <w:t>. –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транспорта Российской Федерации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2010-2023.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РЖД: официальный сайт.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19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</w:t>
      </w:r>
    </w:p>
    <w:p w:rsidR="000D0466" w:rsidRPr="005F6A12" w:rsidRDefault="000D0466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тво железнодорожного транспорта</w:t>
      </w:r>
      <w:r w:rsidRPr="005F6A12">
        <w:rPr>
          <w:rFonts w:ascii="Times New Roman" w:hAnsi="Times New Roman"/>
          <w:w w:val="104"/>
          <w:sz w:val="24"/>
          <w:szCs w:val="24"/>
        </w:rPr>
        <w:t>: официальный са</w:t>
      </w:r>
      <w:r w:rsidR="002922C5" w:rsidRPr="005F6A12">
        <w:rPr>
          <w:rFonts w:ascii="Times New Roman" w:hAnsi="Times New Roman"/>
          <w:w w:val="104"/>
          <w:sz w:val="24"/>
          <w:szCs w:val="24"/>
        </w:rPr>
        <w:t>йт. – Москва, 2009-2023. – URL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="002922C5"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0D0466" w:rsidRPr="005F6A12" w:rsidRDefault="002922C5" w:rsidP="005F6A12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СЦБИСТ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сай</w:t>
      </w:r>
      <w:r w:rsidRPr="005F6A12">
        <w:rPr>
          <w:rFonts w:ascii="Times New Roman" w:hAnsi="Times New Roman"/>
          <w:w w:val="104"/>
          <w:sz w:val="24"/>
          <w:szCs w:val="24"/>
        </w:rPr>
        <w:t>т железнодорожников № 1. – URL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 xml:space="preserve">: </w:t>
      </w:r>
      <w:hyperlink r:id="rId21" w:history="1">
        <w:r w:rsidR="000D0466"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</w:t>
      </w:r>
      <w:r w:rsidR="000D0466" w:rsidRPr="005F6A12">
        <w:rPr>
          <w:rFonts w:ascii="Times New Roman" w:hAnsi="Times New Roman"/>
          <w:w w:val="104"/>
          <w:sz w:val="24"/>
          <w:szCs w:val="24"/>
        </w:rPr>
        <w:t>: электронный.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BF6F90">
        <w:rPr>
          <w:rFonts w:ascii="Times New Roman" w:hAnsi="Times New Roman"/>
          <w:sz w:val="24"/>
          <w:szCs w:val="24"/>
        </w:rPr>
        <w:t>докладов</w:t>
      </w:r>
      <w:r w:rsidRPr="005F6A12">
        <w:rPr>
          <w:rFonts w:ascii="Times New Roman" w:hAnsi="Times New Roman"/>
          <w:sz w:val="24"/>
          <w:szCs w:val="24"/>
        </w:rPr>
        <w:t>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BF6F90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 w:rsidRPr="005F6A12">
        <w:rPr>
          <w:rFonts w:ascii="Times New Roman" w:hAnsi="Times New Roman"/>
          <w:sz w:val="24"/>
          <w:szCs w:val="24"/>
        </w:rPr>
        <w:t>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451"/>
        <w:gridCol w:w="3920"/>
        <w:gridCol w:w="2508"/>
      </w:tblGrid>
      <w:tr w:rsidR="000977CF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55671B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246B57" w:rsidRPr="005F6A12" w:rsidRDefault="0055671B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BF6F9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BF6F90" w:rsidRPr="00BF6F90" w:rsidRDefault="00BF6F90" w:rsidP="00BF6F9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246B57" w:rsidRPr="005F6A12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246B57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F20CF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BF6F90" w:rsidRPr="00BF6F90" w:rsidRDefault="00BF6F90" w:rsidP="00F20CF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BF6F90" w:rsidRPr="005F6A12" w:rsidRDefault="00BF6F90" w:rsidP="00F20CF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F43839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 10</w:t>
            </w:r>
            <w:r w:rsidRPr="005F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ЛР </w:t>
            </w:r>
            <w:r w:rsidRPr="005F6A12">
              <w:rPr>
                <w:sz w:val="24"/>
                <w:szCs w:val="24"/>
              </w:rPr>
              <w:t>27,</w:t>
            </w:r>
            <w:r>
              <w:rPr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системы обеспечения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</w:t>
            </w:r>
          </w:p>
          <w:p w:rsidR="00BF6F90" w:rsidRPr="0065420D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инженерно-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 xml:space="preserve">- лекции традиционные без применения </w:t>
      </w:r>
      <w:proofErr w:type="spellStart"/>
      <w:r w:rsidRPr="00F46D57">
        <w:rPr>
          <w:rFonts w:ascii="Times New Roman" w:hAnsi="Times New Roman"/>
          <w:spacing w:val="-3"/>
          <w:sz w:val="24"/>
          <w:szCs w:val="28"/>
        </w:rPr>
        <w:t>мультимедийных</w:t>
      </w:r>
      <w:proofErr w:type="spellEnd"/>
      <w:r w:rsidRPr="00F46D57">
        <w:rPr>
          <w:rFonts w:ascii="Times New Roman" w:hAnsi="Times New Roman"/>
          <w:spacing w:val="-3"/>
          <w:sz w:val="24"/>
          <w:szCs w:val="28"/>
        </w:rPr>
        <w:t xml:space="preserve">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2D" w:rsidRPr="004C712E" w:rsidRDefault="0039232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9232D" w:rsidRPr="004C712E" w:rsidRDefault="0039232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EA44D5" w:rsidRDefault="00BE3CF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F3396E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0662BA" w:rsidRDefault="00BE3CF2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F3396E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BE3CF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320695" w:rsidRDefault="00BE3CF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F3396E">
      <w:rPr>
        <w:rStyle w:val="af1"/>
        <w:rFonts w:ascii="Times New Roman" w:hAnsi="Times New Roman"/>
        <w:noProof/>
      </w:rPr>
      <w:t>21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2D" w:rsidRPr="004C712E" w:rsidRDefault="0039232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9232D" w:rsidRPr="004C712E" w:rsidRDefault="0039232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BA0"/>
    <w:rsid w:val="000204C3"/>
    <w:rsid w:val="000328BA"/>
    <w:rsid w:val="00044A76"/>
    <w:rsid w:val="00054CD7"/>
    <w:rsid w:val="000662BA"/>
    <w:rsid w:val="00075325"/>
    <w:rsid w:val="00077E2F"/>
    <w:rsid w:val="00084657"/>
    <w:rsid w:val="000977CF"/>
    <w:rsid w:val="000A135B"/>
    <w:rsid w:val="000B5B53"/>
    <w:rsid w:val="000D0466"/>
    <w:rsid w:val="000D50A6"/>
    <w:rsid w:val="000F7591"/>
    <w:rsid w:val="0012153E"/>
    <w:rsid w:val="00130B38"/>
    <w:rsid w:val="001317F7"/>
    <w:rsid w:val="0013666F"/>
    <w:rsid w:val="001430CE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333F1"/>
    <w:rsid w:val="00335591"/>
    <w:rsid w:val="00363AA4"/>
    <w:rsid w:val="00367873"/>
    <w:rsid w:val="0039232D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16EF"/>
    <w:rsid w:val="0052746A"/>
    <w:rsid w:val="005342E8"/>
    <w:rsid w:val="00536931"/>
    <w:rsid w:val="00540EA9"/>
    <w:rsid w:val="0055671B"/>
    <w:rsid w:val="00557F54"/>
    <w:rsid w:val="005602DF"/>
    <w:rsid w:val="00575AA3"/>
    <w:rsid w:val="0058695D"/>
    <w:rsid w:val="005D3DE8"/>
    <w:rsid w:val="005F6A12"/>
    <w:rsid w:val="0062423C"/>
    <w:rsid w:val="00635422"/>
    <w:rsid w:val="006810BC"/>
    <w:rsid w:val="006A6FC9"/>
    <w:rsid w:val="006C4417"/>
    <w:rsid w:val="006D0DF2"/>
    <w:rsid w:val="006D4298"/>
    <w:rsid w:val="006F38CF"/>
    <w:rsid w:val="006F5CA2"/>
    <w:rsid w:val="00793B4C"/>
    <w:rsid w:val="007B3868"/>
    <w:rsid w:val="007D78C8"/>
    <w:rsid w:val="007F6884"/>
    <w:rsid w:val="00821100"/>
    <w:rsid w:val="00824AD3"/>
    <w:rsid w:val="00837E1C"/>
    <w:rsid w:val="0085093C"/>
    <w:rsid w:val="00855632"/>
    <w:rsid w:val="00882FEF"/>
    <w:rsid w:val="008A1C08"/>
    <w:rsid w:val="008A720A"/>
    <w:rsid w:val="008D10F3"/>
    <w:rsid w:val="008D63C1"/>
    <w:rsid w:val="009769EA"/>
    <w:rsid w:val="009B76E5"/>
    <w:rsid w:val="009C1F23"/>
    <w:rsid w:val="009D0F4F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BE3CF2"/>
    <w:rsid w:val="00BF6F90"/>
    <w:rsid w:val="00C161B6"/>
    <w:rsid w:val="00C17089"/>
    <w:rsid w:val="00C20873"/>
    <w:rsid w:val="00C3099A"/>
    <w:rsid w:val="00C36DD6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D16DB6"/>
    <w:rsid w:val="00D3167B"/>
    <w:rsid w:val="00D33AA1"/>
    <w:rsid w:val="00D740B3"/>
    <w:rsid w:val="00D84AEC"/>
    <w:rsid w:val="00D90C48"/>
    <w:rsid w:val="00DB129A"/>
    <w:rsid w:val="00E12711"/>
    <w:rsid w:val="00E1767B"/>
    <w:rsid w:val="00E2415D"/>
    <w:rsid w:val="00E41BA0"/>
    <w:rsid w:val="00E63E35"/>
    <w:rsid w:val="00E70611"/>
    <w:rsid w:val="00E70B36"/>
    <w:rsid w:val="00EA2ADA"/>
    <w:rsid w:val="00EA44D5"/>
    <w:rsid w:val="00ED1113"/>
    <w:rsid w:val="00EE6D92"/>
    <w:rsid w:val="00EF5128"/>
    <w:rsid w:val="00EF7FEB"/>
    <w:rsid w:val="00F312A0"/>
    <w:rsid w:val="00F3396E"/>
    <w:rsid w:val="00F36D7E"/>
    <w:rsid w:val="00F43839"/>
    <w:rsid w:val="00F46D57"/>
    <w:rsid w:val="00F47808"/>
    <w:rsid w:val="00F62283"/>
    <w:rsid w:val="00F64D27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83</cp:revision>
  <dcterms:created xsi:type="dcterms:W3CDTF">2023-02-09T09:18:00Z</dcterms:created>
  <dcterms:modified xsi:type="dcterms:W3CDTF">2023-05-19T07:00:00Z</dcterms:modified>
</cp:coreProperties>
</file>