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600F55">
        <w:rPr>
          <w:rFonts w:ascii="Times New Roman" w:hAnsi="Times New Roman" w:cs="Times New Roman"/>
          <w:b/>
          <w:bCs/>
          <w:sz w:val="28"/>
          <w:szCs w:val="28"/>
        </w:rPr>
        <w:t>9.4.25</w:t>
      </w:r>
      <w:r w:rsidR="00600F55" w:rsidRPr="00600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E5B25">
        <w:rPr>
          <w:rFonts w:ascii="Times New Roman" w:hAnsi="Times New Roman" w:cs="Times New Roman"/>
          <w:b/>
          <w:bCs/>
          <w:sz w:val="28"/>
          <w:szCs w:val="28"/>
        </w:rPr>
        <w:t>ОПОП-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="00585E67" w:rsidRPr="00585E67">
        <w:rPr>
          <w:rFonts w:ascii="Times New Roman" w:hAnsi="Times New Roman" w:cs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 xml:space="preserve">ПП.04.01. Производственная практика (17244 Приемосдатчик </w:t>
            </w:r>
            <w:r w:rsidRPr="00136D34">
              <w:rPr>
                <w:rStyle w:val="10pt"/>
                <w:sz w:val="24"/>
                <w:szCs w:val="24"/>
              </w:rPr>
              <w:lastRenderedPageBreak/>
              <w:t>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Style w:val="9"/>
              </w:rPr>
            </w:pPr>
            <w:r w:rsidRPr="00006E97">
              <w:rPr>
                <w:rStyle w:val="aff1"/>
              </w:rPr>
              <w:t xml:space="preserve">ПК 4.1. </w:t>
            </w:r>
            <w:r w:rsidRPr="00F12116">
              <w:rPr>
                <w:rStyle w:val="aff1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7E1F18" w:rsidRPr="00136D34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 автоматизированных системах и на бумажных носителях отчетной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7E1F18"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E67" w:rsidRPr="00585E67" w:rsidRDefault="007E1F18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58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работе с грузом, погруженным в вагон;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установок в них в объеме, 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регламентирующей выполнение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916B86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  <w:p w:rsidR="007E1F18" w:rsidRPr="00136D34" w:rsidRDefault="00E01854" w:rsidP="00916B8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</w:t>
            </w:r>
            <w:proofErr w:type="spellStart"/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функций.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Fonts w:cs="Times New Roman"/>
              </w:rPr>
            </w:pPr>
            <w:r w:rsidRPr="00006E97">
              <w:rPr>
                <w:rStyle w:val="aff1"/>
              </w:rPr>
              <w:lastRenderedPageBreak/>
              <w:t xml:space="preserve">ПК 4.2. </w:t>
            </w:r>
            <w:r w:rsidRPr="00F12116">
              <w:rPr>
                <w:rStyle w:val="aff1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</w:t>
            </w:r>
            <w:r w:rsidRPr="00916B86">
              <w:rPr>
                <w:sz w:val="24"/>
                <w:szCs w:val="24"/>
              </w:rPr>
              <w:lastRenderedPageBreak/>
              <w:t>перевозки груза</w:t>
            </w:r>
            <w:r w:rsidR="007E1F18" w:rsidRPr="00916B86">
              <w:rPr>
                <w:sz w:val="24"/>
                <w:szCs w:val="24"/>
              </w:rPr>
              <w:t>;</w:t>
            </w:r>
          </w:p>
          <w:p w:rsidR="00E01854" w:rsidRPr="00916B86" w:rsidRDefault="007E1F18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о</w:t>
            </w:r>
            <w:r w:rsidR="00E01854" w:rsidRPr="00916B86">
              <w:rPr>
                <w:sz w:val="24"/>
                <w:szCs w:val="24"/>
              </w:rPr>
              <w:t>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ормативно-технически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и руководящи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документ</w:t>
            </w:r>
            <w:r w:rsidR="00916B86" w:rsidRPr="00916B86">
              <w:rPr>
                <w:sz w:val="24"/>
                <w:szCs w:val="24"/>
              </w:rPr>
              <w:t>ов</w:t>
            </w:r>
            <w:r w:rsidRPr="00916B86">
              <w:rPr>
                <w:sz w:val="24"/>
                <w:szCs w:val="24"/>
              </w:rPr>
              <w:t xml:space="preserve"> по проверке состояния и правильности размещения и крепления груза в вагоне;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стройств</w:t>
            </w:r>
            <w:r w:rsidR="00916B86"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 xml:space="preserve"> грузовых вагонов, поряд</w:t>
            </w:r>
            <w:r w:rsidR="00916B86" w:rsidRPr="00916B86">
              <w:rPr>
                <w:sz w:val="24"/>
                <w:szCs w:val="24"/>
              </w:rPr>
              <w:t>ка</w:t>
            </w:r>
            <w:r w:rsidRPr="00916B86">
              <w:rPr>
                <w:sz w:val="24"/>
                <w:szCs w:val="24"/>
              </w:rPr>
              <w:t xml:space="preserve"> обслуживания систем и установок грузовых вагонах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т</w:t>
            </w:r>
            <w:r w:rsidRPr="00916B86">
              <w:rPr>
                <w:sz w:val="24"/>
                <w:szCs w:val="24"/>
              </w:rPr>
              <w:t>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услови</w:t>
            </w:r>
            <w:r w:rsidR="00916B86"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 xml:space="preserve">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равил перевозки груза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правил </w:t>
            </w:r>
            <w:r w:rsidRPr="00916B86">
              <w:rPr>
                <w:sz w:val="24"/>
                <w:szCs w:val="24"/>
              </w:rPr>
              <w:t>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расположения негабаритных мест, электрифицированных </w:t>
            </w:r>
            <w:r w:rsidRPr="00916B86">
              <w:rPr>
                <w:sz w:val="24"/>
                <w:szCs w:val="24"/>
              </w:rPr>
              <w:t>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lastRenderedPageBreak/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>знаний порядка работы в автоматизированных системах при проверке состояния и правильности размещения и крепления груза в вагоне;</w:t>
            </w:r>
          </w:p>
          <w:p w:rsidR="00E01854" w:rsidRPr="00916B86" w:rsidRDefault="00916B86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7E1F18" w:rsidRPr="00916B86" w:rsidRDefault="00916B86" w:rsidP="00916B8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требований </w:t>
            </w:r>
            <w:r w:rsidR="00E01854" w:rsidRPr="00916B86">
              <w:rPr>
                <w:sz w:val="24"/>
                <w:szCs w:val="24"/>
              </w:rPr>
              <w:t xml:space="preserve">охраны труда, </w:t>
            </w:r>
            <w:proofErr w:type="spellStart"/>
            <w:r w:rsidR="00E01854" w:rsidRPr="00916B86">
              <w:rPr>
                <w:sz w:val="24"/>
                <w:szCs w:val="24"/>
              </w:rPr>
              <w:t>электробезопасности</w:t>
            </w:r>
            <w:proofErr w:type="spellEnd"/>
            <w:r w:rsidR="00E01854" w:rsidRPr="00916B86">
              <w:rPr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9357FC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C8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 Осуществлять устную и письменную коммуникацию на государственном языке </w:t>
            </w: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lastRenderedPageBreak/>
              <w:t xml:space="preserve">- обучающийся грамотно излагает свои мысли и оформляет текстовые документы по </w:t>
            </w:r>
            <w:r w:rsidRPr="00136D34">
              <w:rPr>
                <w:sz w:val="24"/>
                <w:szCs w:val="24"/>
              </w:rPr>
              <w:lastRenderedPageBreak/>
              <w:t>заданной тематике, выступает с докладами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36D34">
              <w:rPr>
                <w:bCs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Показатели оценки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4"/>
        <w:tblW w:w="0" w:type="auto"/>
        <w:tblInd w:w="108" w:type="dxa"/>
        <w:tblLook w:val="04A0"/>
      </w:tblPr>
      <w:tblGrid>
        <w:gridCol w:w="3274"/>
        <w:gridCol w:w="3438"/>
        <w:gridCol w:w="3034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25 Способный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</w:tcPr>
          <w:p w:rsidR="00554986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определения объема работ на основе сменного задания при работе с грузом, погруженным в вагон, принятым на грузовой терминал (склад),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приема груза к перевозке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="00DA1745" w:rsidRPr="00DA1745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 xml:space="preserve"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</w:t>
            </w:r>
            <w:r w:rsidR="00DA1745" w:rsidRPr="00DA1745">
              <w:rPr>
                <w:rFonts w:ascii="Times New Roman" w:hAnsi="Times New Roman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отчет по производственной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</w:t>
            </w:r>
            <w:r w:rsidRPr="002B1EE8">
              <w:rPr>
                <w:rFonts w:ascii="Times New Roman" w:hAnsi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вагонах при выполнении погрузочно-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 и порядка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 xml:space="preserve">порядок приема, составления и передачи </w:t>
            </w:r>
            <w:r w:rsidRPr="002B1EE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 xml:space="preserve">порядка приема,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</w:tcPr>
          <w:p w:rsidR="00051159" w:rsidRPr="002B1EE8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</w:tcPr>
          <w:p w:rsidR="00051159" w:rsidRPr="002B1EE8" w:rsidRDefault="00051159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proofErr w:type="spellStart"/>
            <w:r w:rsidRPr="002B1EE8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B1EE8">
              <w:rPr>
                <w:rFonts w:ascii="Times New Roman" w:hAnsi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требований охраны труда, </w:t>
            </w:r>
            <w:proofErr w:type="spellStart"/>
            <w:r w:rsidRPr="00051159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051159">
              <w:rPr>
                <w:rFonts w:ascii="Times New Roman" w:hAnsi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lastRenderedPageBreak/>
              <w:t>(квалификационный)</w:t>
            </w:r>
          </w:p>
        </w:tc>
      </w:tr>
      <w:tr w:rsidR="00051159" w:rsidRPr="00136D34" w:rsidTr="00CA24F6">
        <w:tc>
          <w:tcPr>
            <w:tcW w:w="9781" w:type="dxa"/>
            <w:gridSpan w:val="4"/>
          </w:tcPr>
          <w:p w:rsidR="00051159" w:rsidRPr="00136D34" w:rsidRDefault="00051159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D6621B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а</w:t>
            </w:r>
            <w:r w:rsidRPr="00D6621B">
              <w:rPr>
                <w:rFonts w:ascii="Times New Roman" w:hAnsi="Times New Roman"/>
              </w:rPr>
      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6621B">
              <w:rPr>
                <w:rFonts w:ascii="Times New Roman" w:hAnsi="Times New Roman"/>
              </w:rPr>
              <w:t>ередач</w:t>
            </w:r>
            <w:r>
              <w:rPr>
                <w:rFonts w:ascii="Times New Roman" w:hAnsi="Times New Roman"/>
              </w:rPr>
              <w:t>и</w:t>
            </w:r>
            <w:r w:rsidRPr="00D6621B">
              <w:rPr>
                <w:rFonts w:ascii="Times New Roman" w:hAnsi="Times New Roman"/>
              </w:rPr>
      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6621B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D6621B">
              <w:rPr>
                <w:rFonts w:ascii="Times New Roman" w:hAnsi="Times New Roman"/>
              </w:rPr>
      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при оформлении документации о результатах коммерческого осмотра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автоматизированными системами при оформлении документации о результатах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>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вагонов, порядка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технические условия размещения и крепления груза в вагоне при проверке состояния и правильности размещения и крепления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 xml:space="preserve">технических условий размещения и крепления груза в вагоне при проверке состояния и правильности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З4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E238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proofErr w:type="spellStart"/>
            <w:r w:rsidRPr="0060657F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60657F">
              <w:rPr>
                <w:rFonts w:ascii="Times New Roman" w:hAnsi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требований охраны труда, </w:t>
            </w:r>
            <w:proofErr w:type="spellStart"/>
            <w:r w:rsidRPr="00051159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051159">
              <w:rPr>
                <w:rFonts w:ascii="Times New Roman" w:hAnsi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CC5F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A42703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У, З,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4.1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4.2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Расскажите, в какой журнал заносится запись о признании вагона годным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Поясните, на основании каких документов осуществляется учет времени нахождения вагонов на железнодорожном пути </w:t>
      </w:r>
      <w:proofErr w:type="spellStart"/>
      <w:r w:rsidRPr="00136D34">
        <w:rPr>
          <w:rFonts w:ascii="Times New Roman" w:hAnsi="Times New Roman" w:cs="Times New Roman"/>
          <w:spacing w:val="1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при предъявлении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 xml:space="preserve">Поясните, кто обеспечивает выгрузку грузов из вагонов в местах общего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вскрытия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11. Перевозка багажа и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условия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Опишите порядок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Перечислите, какие сведения указываются в заявлении на прием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 порядок выдачи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Поясните, как объявляется ценность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9. Укажите, на какой вид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10. Укажите отличительные особенности приема и оформления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проведения контроля за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вагонный лист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Памятку приемосдатчика ф.ГУ-45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подачи,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час.мин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уборки,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час.мин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неф.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жид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вагонный лист  в зависимости от варианта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из Лянгасово с оборванным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ЗПУ попутной станции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Поздино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подмочкой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оформлять багаж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 xml:space="preserve">книгу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0" w:name="_GoBack"/>
      <w:bookmarkEnd w:id="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проведения контроля за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Укажите, на какой вид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б.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В каком из перечисленных документов отражено время подачи и уборки вагонов на пути </w:t>
      </w:r>
      <w:proofErr w:type="spellStart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Памятка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Представителем владельца или пользователя железнодорожного пути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6. На основании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 1-2 верные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в. Работник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17. Кто обеспечивает погрузку/выгрузку грузов в/из контейнеров в местах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Информационно–техническая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 xml:space="preserve">Степени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 в каждой зоне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. Индекс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ф.ГУ-37ВЦ.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Порядок приема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Объявление ценности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Заполнение книги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Правила выдачи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—пиридин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при коммерческом осмотре по прибытию вагона с оборванным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ф.ГУ-37ВЦ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Определить зону и степень </w:t>
            </w:r>
            <w:proofErr w:type="spell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азот сжатый и пропилен;   — азот сжатый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Дан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Назовите обязанности приемосдатчика при приеме багажа и </w:t>
            </w:r>
            <w:proofErr w:type="spellStart"/>
            <w:r w:rsidRPr="00136D34">
              <w:rPr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Перечислите виды тары для перевозки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Степени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в каждой зоне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. Индекс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при коммерческом осмотре по прибытию вагона с оборванным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Привести форму вагонного листа для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Условия приема багажа 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ценности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 xml:space="preserve">Заполнение книги отправления </w:t>
            </w:r>
            <w:proofErr w:type="spellStart"/>
            <w:r w:rsidRPr="00136D34">
              <w:rPr>
                <w:rFonts w:ascii="Times New Roman" w:hAnsi="Times New Roman" w:cs="Times New Roman"/>
                <w:bCs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  <w:bCs/>
              </w:rPr>
              <w:t xml:space="preserve">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43120D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43120D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A42703" w:rsidRDefault="0043120D" w:rsidP="004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969" w:type="dxa"/>
          </w:tcPr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4.1,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4.2,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54986" w:rsidRPr="00A42703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spell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  <w:r w:rsidRPr="00136D34">
              <w:rPr>
                <w:rFonts w:ascii="Times New Roman" w:eastAsia="TimesNewRoman" w:hAnsi="Times New Roman" w:cs="Times New Roman"/>
              </w:rPr>
              <w:t>/</w:t>
            </w:r>
            <w:proofErr w:type="spell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Профессия: </w:t>
            </w:r>
            <w:r w:rsidRPr="0043120D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43120D" w:rsidRDefault="0043120D" w:rsidP="0043120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43120D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6D3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136D34">
              <w:rPr>
                <w:rFonts w:ascii="Times New Roman" w:eastAsia="TimesNewRoman" w:hAnsi="Times New Roman" w:cs="Times New Roman"/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 xml:space="preserve">пиридин и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>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20°С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при коммерческом осмотре по прибытию вагона с оборванным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Рассчитайте расстояние перевозки груза от станции Киров до станции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Москва-Товарно-Ярославская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негабаритность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двухбоковая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плату за пользование крытыми вагонами, вагонооборот до 50 вагонов за 12 часов при сдвоенной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Указать, на каком расстояние должен быть выгружен груз от железнодорожного пути.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 xml:space="preserve"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</w:t>
      </w:r>
      <w:proofErr w:type="spellStart"/>
      <w:r w:rsidRPr="0043120D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43120D">
        <w:rPr>
          <w:rFonts w:ascii="Times New Roman" w:hAnsi="Times New Roman"/>
          <w:sz w:val="28"/>
          <w:szCs w:val="28"/>
        </w:rPr>
        <w:t>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120D">
        <w:rPr>
          <w:rFonts w:ascii="Times New Roman" w:hAnsi="Times New Roman"/>
          <w:sz w:val="28"/>
          <w:szCs w:val="28"/>
        </w:rPr>
        <w:t>Ласкина</w:t>
      </w:r>
      <w:proofErr w:type="spellEnd"/>
      <w:r w:rsidRPr="0043120D">
        <w:rPr>
          <w:rFonts w:ascii="Times New Roman" w:hAnsi="Times New Roman"/>
          <w:sz w:val="28"/>
          <w:szCs w:val="28"/>
        </w:rPr>
        <w:t xml:space="preserve">, О.Н. Организация погрузочно-выгрузочных операций и оформление грузовой документации : учебное пособие / О. Н. </w:t>
      </w:r>
      <w:proofErr w:type="spellStart"/>
      <w:r w:rsidRPr="0043120D">
        <w:rPr>
          <w:rFonts w:ascii="Times New Roman" w:hAnsi="Times New Roman"/>
          <w:sz w:val="28"/>
          <w:szCs w:val="28"/>
        </w:rPr>
        <w:t>Ласкина</w:t>
      </w:r>
      <w:proofErr w:type="spellEnd"/>
      <w:r w:rsidRPr="0043120D">
        <w:rPr>
          <w:rFonts w:ascii="Times New Roman" w:hAnsi="Times New Roman"/>
          <w:sz w:val="28"/>
          <w:szCs w:val="28"/>
        </w:rPr>
        <w:t>. — Москва : УМЦ ЖДТ, 2023. — 312 с. — 978-5-907479-96-8. — Текст : электронный // УМЦ ЖДТ : электронная библиотека. — URL: https://umczdt.ru/books/1196/280431/. — Режим доступа: по подписке.</w:t>
      </w:r>
    </w:p>
    <w:p w:rsidR="00027672" w:rsidRPr="0043120D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20D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19.10.2023). - Текст : электронный // </w:t>
      </w:r>
      <w:proofErr w:type="spellStart"/>
      <w:r w:rsidRPr="0043120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3120D">
        <w:rPr>
          <w:rFonts w:ascii="Times New Roman" w:hAnsi="Times New Roman" w:cs="Times New Roman"/>
          <w:sz w:val="28"/>
          <w:szCs w:val="28"/>
        </w:rPr>
        <w:t xml:space="preserve"> - URL: http://www.consultant.ru/document/cons_doc_LAW_40444/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- Текст : электронный // </w:t>
      </w:r>
      <w:proofErr w:type="spellStart"/>
      <w:r w:rsidRPr="0043120D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bCs/>
          <w:sz w:val="28"/>
          <w:szCs w:val="28"/>
        </w:rPr>
        <w:t xml:space="preserve">Инструкция по ведению на станциях коммерческой отчетности при грузовых перевозках ОАО «РЖД» : утв. распоряжением ОАО «РЖД» от 01.03.2007 № 333р (ред. от 13.04.2017, с </w:t>
      </w:r>
      <w:proofErr w:type="spellStart"/>
      <w:r w:rsidRPr="0043120D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Pr="0043120D">
        <w:rPr>
          <w:rFonts w:ascii="Times New Roman" w:hAnsi="Times New Roman"/>
          <w:bCs/>
          <w:sz w:val="28"/>
          <w:szCs w:val="28"/>
        </w:rPr>
        <w:t xml:space="preserve">. от 20.07.2022) - Текст : электронный // </w:t>
      </w:r>
      <w:proofErr w:type="spellStart"/>
      <w:r w:rsidRPr="0043120D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r w:rsidRPr="0043120D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r w:rsidRPr="0043120D">
        <w:rPr>
          <w:rFonts w:ascii="Times New Roman" w:eastAsia="Times New Roman" w:hAnsi="Times New Roman"/>
          <w:sz w:val="28"/>
          <w:szCs w:val="28"/>
        </w:rPr>
        <w:t xml:space="preserve"> (ред. от 28.12.2023). - Текст : электронный // </w:t>
      </w:r>
      <w:proofErr w:type="spellStart"/>
      <w:r w:rsidRPr="0043120D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</w:t>
      </w:r>
      <w:r>
        <w:rPr>
          <w:rFonts w:ascii="Times New Roman" w:hAnsi="Times New Roman"/>
          <w:sz w:val="28"/>
          <w:szCs w:val="28"/>
        </w:rPr>
        <w:t> </w:t>
      </w:r>
      <w:r w:rsidRPr="0043120D">
        <w:rPr>
          <w:rFonts w:ascii="Times New Roman" w:hAnsi="Times New Roman"/>
          <w:sz w:val="28"/>
          <w:szCs w:val="28"/>
        </w:rPr>
        <w:t xml:space="preserve">10-01. Ч. 1 и 2 : Постановление ФЭК России от 17.06.2003 № 47-т/5 (ред. от 07.06.2023). - Текст : электронный // </w:t>
      </w:r>
      <w:proofErr w:type="spellStart"/>
      <w:r w:rsidRPr="0043120D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</w:t>
      </w:r>
      <w:proofErr w:type="spell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>Вид профессиональной деятельности освоен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организует выполнение </w:t>
            </w:r>
            <w:r w:rsidR="007931F1" w:rsidRPr="007931F1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осуществляет проверку </w:t>
            </w:r>
            <w:r w:rsidR="007931F1" w:rsidRPr="007931F1">
              <w:rPr>
                <w:sz w:val="24"/>
                <w:szCs w:val="24"/>
              </w:rPr>
              <w:t>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b w:val="0"/>
                <w:color w:val="auto"/>
                <w:sz w:val="24"/>
                <w:szCs w:val="24"/>
              </w:rPr>
            </w:pPr>
            <w:r w:rsidRPr="00136D34">
              <w:rPr>
                <w:rStyle w:val="9"/>
                <w:b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8F" w:rsidRDefault="00090C8F" w:rsidP="00554986">
      <w:pPr>
        <w:spacing w:after="0" w:line="240" w:lineRule="auto"/>
      </w:pPr>
      <w:r>
        <w:separator/>
      </w:r>
    </w:p>
  </w:endnote>
  <w:endnote w:type="continuationSeparator" w:id="0">
    <w:p w:rsidR="00090C8F" w:rsidRDefault="00090C8F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8F" w:rsidRDefault="00090C8F" w:rsidP="00554986">
      <w:pPr>
        <w:spacing w:after="0" w:line="240" w:lineRule="auto"/>
      </w:pPr>
      <w:r>
        <w:separator/>
      </w:r>
    </w:p>
  </w:footnote>
  <w:footnote w:type="continuationSeparator" w:id="0">
    <w:p w:rsidR="00090C8F" w:rsidRDefault="00090C8F" w:rsidP="00554986">
      <w:pPr>
        <w:spacing w:after="0" w:line="240" w:lineRule="auto"/>
      </w:pPr>
      <w:r>
        <w:continuationSeparator/>
      </w:r>
    </w:p>
  </w:footnote>
  <w:footnote w:id="1">
    <w:p w:rsidR="004D101F" w:rsidRPr="00B41779" w:rsidRDefault="004D101F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4D101F" w:rsidRPr="00B41779" w:rsidRDefault="004D101F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4D101F" w:rsidRDefault="004D101F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4D101F" w:rsidRPr="00F012A8" w:rsidRDefault="004D101F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4D101F" w:rsidRPr="00F012A8" w:rsidRDefault="004D101F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4D101F" w:rsidRPr="00B41779" w:rsidRDefault="004D101F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51159"/>
    <w:rsid w:val="00090C8F"/>
    <w:rsid w:val="000B5014"/>
    <w:rsid w:val="00115FF9"/>
    <w:rsid w:val="00136D34"/>
    <w:rsid w:val="001460FA"/>
    <w:rsid w:val="00151B02"/>
    <w:rsid w:val="001528C4"/>
    <w:rsid w:val="001C3D65"/>
    <w:rsid w:val="00235D87"/>
    <w:rsid w:val="00246EC2"/>
    <w:rsid w:val="0028028E"/>
    <w:rsid w:val="002B0294"/>
    <w:rsid w:val="00340888"/>
    <w:rsid w:val="00350D62"/>
    <w:rsid w:val="003E54E5"/>
    <w:rsid w:val="0043120D"/>
    <w:rsid w:val="004463A6"/>
    <w:rsid w:val="004D101F"/>
    <w:rsid w:val="00522BD8"/>
    <w:rsid w:val="00554986"/>
    <w:rsid w:val="0057737A"/>
    <w:rsid w:val="00585E67"/>
    <w:rsid w:val="005869F4"/>
    <w:rsid w:val="0059270E"/>
    <w:rsid w:val="005B5FBA"/>
    <w:rsid w:val="005C4A71"/>
    <w:rsid w:val="00600F55"/>
    <w:rsid w:val="006152ED"/>
    <w:rsid w:val="006449A2"/>
    <w:rsid w:val="007931F1"/>
    <w:rsid w:val="007933D1"/>
    <w:rsid w:val="007C35B7"/>
    <w:rsid w:val="007E1F18"/>
    <w:rsid w:val="00815FD5"/>
    <w:rsid w:val="00833FA9"/>
    <w:rsid w:val="008B7E5D"/>
    <w:rsid w:val="00916B86"/>
    <w:rsid w:val="009357FC"/>
    <w:rsid w:val="00952BB1"/>
    <w:rsid w:val="00985ABE"/>
    <w:rsid w:val="009942B7"/>
    <w:rsid w:val="009B08AA"/>
    <w:rsid w:val="009C5EF2"/>
    <w:rsid w:val="009F4028"/>
    <w:rsid w:val="00A244E1"/>
    <w:rsid w:val="00A42703"/>
    <w:rsid w:val="00AA6CF6"/>
    <w:rsid w:val="00B41779"/>
    <w:rsid w:val="00B61D82"/>
    <w:rsid w:val="00B876B9"/>
    <w:rsid w:val="00BA2374"/>
    <w:rsid w:val="00BE00BC"/>
    <w:rsid w:val="00BF0E22"/>
    <w:rsid w:val="00C12588"/>
    <w:rsid w:val="00C52914"/>
    <w:rsid w:val="00C83844"/>
    <w:rsid w:val="00CA24F6"/>
    <w:rsid w:val="00CE5B25"/>
    <w:rsid w:val="00D01D95"/>
    <w:rsid w:val="00D1231C"/>
    <w:rsid w:val="00D21B00"/>
    <w:rsid w:val="00D26098"/>
    <w:rsid w:val="00D62519"/>
    <w:rsid w:val="00DA1745"/>
    <w:rsid w:val="00DB3B2D"/>
    <w:rsid w:val="00DC7C7A"/>
    <w:rsid w:val="00E01854"/>
    <w:rsid w:val="00E86CAC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1">
    <w:name w:val="Подпись к таблице_"/>
    <w:basedOn w:val="a0"/>
    <w:link w:val="aff2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422F-5FC1-4C96-8715-6E88720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51</Pages>
  <Words>24971</Words>
  <Characters>142335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56</cp:revision>
  <dcterms:created xsi:type="dcterms:W3CDTF">2023-04-13T13:48:00Z</dcterms:created>
  <dcterms:modified xsi:type="dcterms:W3CDTF">2025-04-18T14:43:00Z</dcterms:modified>
</cp:coreProperties>
</file>