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482B71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482B71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82B71" w:rsidTr="00482B71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482B71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82B71" w:rsidTr="00482B71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8B30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 (2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482B71" w:rsidRDefault="00482B71" w:rsidP="0048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167C65" w:rsidRPr="00DD2376" w:rsidRDefault="00482B71" w:rsidP="00DD237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167C65" w:rsidRPr="00167C65" w:rsidRDefault="00DD2376" w:rsidP="00167C65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</w:t>
      </w:r>
      <w:r w:rsidR="00167C65" w:rsidRPr="00167C65">
        <w:rPr>
          <w:rFonts w:ascii="Times New Roman" w:hAnsi="Times New Roman" w:cs="Times New Roman"/>
          <w:b/>
          <w:sz w:val="24"/>
          <w:szCs w:val="24"/>
        </w:rPr>
        <w:t xml:space="preserve"> 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7713"/>
        <w:gridCol w:w="1050"/>
        <w:gridCol w:w="2932"/>
      </w:tblGrid>
      <w:tr w:rsidR="00167C65" w:rsidRPr="00167C65" w:rsidTr="0091775A">
        <w:trPr>
          <w:trHeight w:val="20"/>
        </w:trPr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2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A35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сообщений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 xml:space="preserve">История </w:t>
            </w:r>
            <w:r>
              <w:t>развития русского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Проблемы современного русского языка.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167C65" w:rsidRPr="00167C65" w:rsidRDefault="00A351FD" w:rsidP="00A35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167C65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3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и синтаксические),   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167C65" w:rsidRPr="00167C65" w:rsidRDefault="00167C65" w:rsidP="00167C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1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№3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Выполнение упр.3-8 (с.71)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9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№4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color w:val="000000"/>
                <w:spacing w:val="-6"/>
              </w:rPr>
              <w:t xml:space="preserve">Выполнение </w:t>
            </w:r>
            <w:r w:rsidRPr="00167C65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</w:t>
            </w:r>
            <w:r w:rsidRPr="00167C65">
              <w:rPr>
                <w:sz w:val="24"/>
                <w:szCs w:val="24"/>
              </w:rPr>
              <w:lastRenderedPageBreak/>
              <w:t>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sz w:val="24"/>
                <w:szCs w:val="24"/>
              </w:rPr>
              <w:t>Практическое занятие № 1:</w:t>
            </w:r>
            <w:r w:rsidRPr="00167C65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№6 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Морфология.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Синтаксис.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</w:t>
            </w:r>
            <w:r w:rsidRPr="00167C65">
              <w:rPr>
                <w:sz w:val="24"/>
                <w:szCs w:val="24"/>
              </w:rPr>
              <w:lastRenderedPageBreak/>
              <w:t>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0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№8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68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Cs/>
              </w:rPr>
            </w:pPr>
            <w:r w:rsidRPr="00167C65">
              <w:rPr>
                <w:b/>
                <w:bCs/>
              </w:rPr>
              <w:t xml:space="preserve">Самостоятельная работа обучающихся №9 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t xml:space="preserve">Выполнение </w:t>
            </w:r>
            <w:r w:rsidRPr="00167C65">
              <w:rPr>
                <w:bCs/>
              </w:rPr>
              <w:t xml:space="preserve">упр.1-3 (с.204), 1-5 (с.213), </w:t>
            </w:r>
            <w:r w:rsidRPr="00167C65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Текст, его структура.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9"/>
              <w:spacing w:after="0"/>
              <w:jc w:val="both"/>
              <w:rPr>
                <w:bCs/>
              </w:rPr>
            </w:pPr>
            <w:r w:rsidRPr="00167C65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Жанры деловой и учебно-научной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Уровень усвоения - 2</w:t>
            </w:r>
          </w:p>
          <w:p w:rsidR="00167C65" w:rsidRPr="00167C65" w:rsidRDefault="009A3DAA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167C65"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,09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167C65">
              <w:rPr>
                <w:bCs/>
                <w:sz w:val="24"/>
                <w:szCs w:val="24"/>
              </w:rPr>
              <w:t xml:space="preserve"> «</w:t>
            </w:r>
            <w:r w:rsidRPr="00167C65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167C65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  <w:r w:rsidRPr="00167C65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8E29F2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83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5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4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167C65" w:rsidRDefault="008131C7" w:rsidP="0016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31C7" w:rsidRPr="00167C6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 w:rsidRPr="00145810">
        <w:rPr>
          <w:rFonts w:ascii="Times New Roman" w:hAnsi="Times New Roman" w:cs="Times New Roman"/>
          <w:sz w:val="24"/>
          <w:szCs w:val="24"/>
        </w:rPr>
        <w:t xml:space="preserve"> https://sdo.stgt.site/ )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 xml:space="preserve">: учебник / под ред. В.Д. Черняк и др. — Москва : КноРус,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Тихонова В.В. — Москва : КноРус,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0E" w:rsidRDefault="0006090E" w:rsidP="00482B71">
      <w:pPr>
        <w:spacing w:after="0" w:line="240" w:lineRule="auto"/>
      </w:pPr>
      <w:r>
        <w:separator/>
      </w:r>
    </w:p>
  </w:endnote>
  <w:endnote w:type="continuationSeparator" w:id="0">
    <w:p w:rsidR="0006090E" w:rsidRDefault="0006090E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EFD">
          <w:rPr>
            <w:noProof/>
          </w:rPr>
          <w:t>1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0E" w:rsidRDefault="0006090E" w:rsidP="00482B71">
      <w:pPr>
        <w:spacing w:after="0" w:line="240" w:lineRule="auto"/>
      </w:pPr>
      <w:r>
        <w:separator/>
      </w:r>
    </w:p>
  </w:footnote>
  <w:footnote w:type="continuationSeparator" w:id="0">
    <w:p w:rsidR="0006090E" w:rsidRDefault="0006090E" w:rsidP="00482B71">
      <w:pPr>
        <w:spacing w:after="0" w:line="240" w:lineRule="auto"/>
      </w:pPr>
      <w:r>
        <w:continuationSeparator/>
      </w:r>
    </w:p>
  </w:footnote>
  <w:footnote w:id="1">
    <w:p w:rsidR="00A16283" w:rsidRDefault="00A16283" w:rsidP="00A16283">
      <w:pPr>
        <w:pStyle w:val="a5"/>
      </w:pPr>
    </w:p>
  </w:footnote>
  <w:footnote w:id="2">
    <w:p w:rsidR="00A16283" w:rsidRDefault="00A16283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6090E"/>
    <w:rsid w:val="00083A04"/>
    <w:rsid w:val="000C5097"/>
    <w:rsid w:val="00102EFD"/>
    <w:rsid w:val="001167FD"/>
    <w:rsid w:val="00145810"/>
    <w:rsid w:val="00167C65"/>
    <w:rsid w:val="001D7AA3"/>
    <w:rsid w:val="0024181F"/>
    <w:rsid w:val="00257528"/>
    <w:rsid w:val="0025796A"/>
    <w:rsid w:val="002A3EC1"/>
    <w:rsid w:val="00401F08"/>
    <w:rsid w:val="00470A87"/>
    <w:rsid w:val="0047451E"/>
    <w:rsid w:val="00474F03"/>
    <w:rsid w:val="00482B71"/>
    <w:rsid w:val="004C060E"/>
    <w:rsid w:val="004C1FD9"/>
    <w:rsid w:val="004F6DED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55C3F"/>
    <w:rsid w:val="00D5656C"/>
    <w:rsid w:val="00D64F22"/>
    <w:rsid w:val="00D670E8"/>
    <w:rsid w:val="00D671FF"/>
    <w:rsid w:val="00D7472D"/>
    <w:rsid w:val="00DA5D8F"/>
    <w:rsid w:val="00DD2376"/>
    <w:rsid w:val="00DD2DE8"/>
    <w:rsid w:val="00DE785D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1818-C7CF-4C86-A753-6F686C0A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4908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32824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65</cp:revision>
  <dcterms:created xsi:type="dcterms:W3CDTF">2003-12-31T23:34:00Z</dcterms:created>
  <dcterms:modified xsi:type="dcterms:W3CDTF">2025-04-28T11:39:00Z</dcterms:modified>
</cp:coreProperties>
</file>