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среднего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(год начала подготовки: </w:t>
      </w:r>
      <w:r w:rsidR="004A0064">
        <w:rPr>
          <w:rStyle w:val="2"/>
          <w:color w:val="000000"/>
          <w:sz w:val="24"/>
          <w:szCs w:val="24"/>
          <w:u w:val="single"/>
        </w:rPr>
        <w:t>2024</w:t>
      </w:r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Pr="005D69B0">
        <w:rPr>
          <w:rStyle w:val="2"/>
          <w:b w:val="0"/>
          <w:bCs w:val="0"/>
          <w:sz w:val="24"/>
          <w:szCs w:val="24"/>
        </w:rPr>
        <w:t>- 5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C23C6F">
        <w:rPr>
          <w:rStyle w:val="2"/>
          <w:b w:val="0"/>
          <w:bCs w:val="0"/>
          <w:sz w:val="24"/>
          <w:szCs w:val="24"/>
        </w:rPr>
        <w:t>- 4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>
        <w:rPr>
          <w:rStyle w:val="2"/>
          <w:b w:val="0"/>
          <w:bCs w:val="0"/>
          <w:sz w:val="24"/>
          <w:szCs w:val="24"/>
        </w:rPr>
        <w:t xml:space="preserve">-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4D248B">
              <w:rPr>
                <w:rStyle w:val="2"/>
                <w:sz w:val="24"/>
                <w:szCs w:val="24"/>
              </w:rPr>
              <w:lastRenderedPageBreak/>
              <w:t>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FB44A2">
        <w:rPr>
          <w:sz w:val="24"/>
          <w:szCs w:val="24"/>
        </w:rPr>
        <w:t xml:space="preserve">Приволжской дирекции инфраструктуры - структурное подразделение ЦДИ – филиала ОАО «РЖД» </w:t>
      </w:r>
      <w:r w:rsidR="00D96CB9">
        <w:rPr>
          <w:sz w:val="24"/>
          <w:szCs w:val="24"/>
        </w:rPr>
        <w:t>эксплуатационн</w:t>
      </w:r>
      <w:r w:rsidR="00FB44A2">
        <w:rPr>
          <w:sz w:val="24"/>
          <w:szCs w:val="24"/>
        </w:rPr>
        <w:t xml:space="preserve">ое </w:t>
      </w:r>
      <w:r w:rsidR="00D96CB9">
        <w:rPr>
          <w:sz w:val="24"/>
          <w:szCs w:val="24"/>
        </w:rPr>
        <w:t xml:space="preserve"> вагонно</w:t>
      </w:r>
      <w:r w:rsidR="00FB44A2">
        <w:rPr>
          <w:sz w:val="24"/>
          <w:szCs w:val="24"/>
        </w:rPr>
        <w:t xml:space="preserve">е </w:t>
      </w:r>
      <w:r w:rsidR="00D96CB9">
        <w:rPr>
          <w:sz w:val="24"/>
          <w:szCs w:val="24"/>
        </w:rPr>
        <w:t xml:space="preserve"> депо </w:t>
      </w:r>
      <w:r w:rsidR="00FB44A2">
        <w:rPr>
          <w:sz w:val="24"/>
          <w:szCs w:val="24"/>
        </w:rPr>
        <w:t>Анисовка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Учебную практику УП.01.03  (вводная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предприятии </w:t>
      </w:r>
      <w:r w:rsidR="00D645C3" w:rsidRPr="00D645C3">
        <w:rPr>
          <w:rFonts w:ascii="Times New Roman" w:hAnsi="Times New Roman" w:cs="Times New Roman"/>
          <w:sz w:val="24"/>
          <w:szCs w:val="24"/>
        </w:rPr>
        <w:t>Приволжской дирекции инфраструктуры - структурное подразделение ЦДИ – филиала ОАО «РЖД» эксплуатационное  вагонное  депо Анисовка</w:t>
      </w:r>
      <w:r w:rsidRPr="00D645C3">
        <w:rPr>
          <w:rFonts w:ascii="Times New Roman" w:hAnsi="Times New Roman" w:cs="Times New Roman"/>
          <w:sz w:val="24"/>
          <w:szCs w:val="24"/>
        </w:rPr>
        <w:t xml:space="preserve"> 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 xml:space="preserve">)практики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</w:t>
      </w:r>
      <w:r w:rsidR="00ED5002">
        <w:rPr>
          <w:rFonts w:ascii="Times New Roman" w:hAnsi="Times New Roman" w:cs="Times New Roman"/>
          <w:sz w:val="24"/>
          <w:szCs w:val="24"/>
        </w:rPr>
        <w:t>дения высшего образования «Приволж</w:t>
      </w:r>
      <w:r w:rsidRPr="001936FB">
        <w:rPr>
          <w:rFonts w:ascii="Times New Roman" w:hAnsi="Times New Roman" w:cs="Times New Roman"/>
          <w:sz w:val="24"/>
          <w:szCs w:val="24"/>
        </w:rPr>
        <w:t>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5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 xml:space="preserve">обработки и структурирования информации при выполнении практических и </w:t>
            </w:r>
            <w:bookmarkStart w:id="6" w:name="_GoBack"/>
            <w:r w:rsidRPr="00AC3003">
              <w:rPr>
                <w:rStyle w:val="FontStyle133"/>
              </w:rPr>
              <w:t>сам</w:t>
            </w:r>
            <w:bookmarkEnd w:id="6"/>
            <w:r w:rsidRPr="00AC3003">
              <w:rPr>
                <w:rStyle w:val="FontStyle133"/>
              </w:rPr>
              <w:t>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5C" w:rsidRDefault="007D495C" w:rsidP="00D876AD">
      <w:pPr>
        <w:spacing w:after="0" w:line="240" w:lineRule="auto"/>
      </w:pPr>
      <w:r>
        <w:separator/>
      </w:r>
    </w:p>
  </w:endnote>
  <w:endnote w:type="continuationSeparator" w:id="0">
    <w:p w:rsidR="007D495C" w:rsidRDefault="007D495C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50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5C" w:rsidRDefault="007D495C" w:rsidP="00D876AD">
      <w:pPr>
        <w:spacing w:after="0" w:line="240" w:lineRule="auto"/>
      </w:pPr>
      <w:r>
        <w:separator/>
      </w:r>
    </w:p>
  </w:footnote>
  <w:footnote w:type="continuationSeparator" w:id="0">
    <w:p w:rsidR="007D495C" w:rsidRDefault="007D495C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0064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495C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BF7EAC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D5002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306-1</cp:lastModifiedBy>
  <cp:revision>61</cp:revision>
  <dcterms:created xsi:type="dcterms:W3CDTF">2020-03-06T07:04:00Z</dcterms:created>
  <dcterms:modified xsi:type="dcterms:W3CDTF">2024-11-28T09:04:00Z</dcterms:modified>
</cp:coreProperties>
</file>