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i/>
          <w:i/>
          <w:szCs w:val="22"/>
        </w:rPr>
      </w:pPr>
      <w:r>
        <w:rPr>
          <w:i/>
          <w:szCs w:val="22"/>
        </w:rPr>
        <w:t>Приложение</w:t>
      </w:r>
    </w:p>
    <w:p>
      <w:pPr>
        <w:pStyle w:val="Normal"/>
        <w:spacing w:lineRule="auto" w:line="276"/>
        <w:jc w:val="right"/>
        <w:rPr>
          <w:szCs w:val="22"/>
        </w:rPr>
      </w:pPr>
      <w:r>
        <w:rPr>
          <w:szCs w:val="22"/>
        </w:rPr>
        <w:t>ОПОП-ППССЗ по специальности</w:t>
      </w:r>
    </w:p>
    <w:p>
      <w:pPr>
        <w:pStyle w:val="Normal"/>
        <w:jc w:val="right"/>
        <w:rPr>
          <w:bCs/>
        </w:rPr>
      </w:pPr>
      <w:r>
        <w:rPr>
          <w:bCs/>
        </w:rPr>
        <w:t xml:space="preserve">27.02.03 Автоматика и телемеханика на транспорте  </w:t>
      </w:r>
    </w:p>
    <w:p>
      <w:pPr>
        <w:pStyle w:val="Normal"/>
        <w:ind w:hanging="709" w:right="0"/>
        <w:jc w:val="right"/>
        <w:rPr/>
      </w:pPr>
      <w:r>
        <w:rPr>
          <w:bCs/>
        </w:rPr>
        <w:t>(железнодорожном    транспорте)</w:t>
      </w:r>
      <w:r>
        <w:rPr>
          <w:lang w:eastAsia="en-US"/>
        </w:rPr>
        <w:tab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/>
      </w:pPr>
      <w:r>
        <w:rPr/>
      </w:r>
    </w:p>
    <w:p>
      <w:pPr>
        <w:pStyle w:val="BodyText"/>
        <w:suppressAutoHyphens w:val="true"/>
        <w:jc w:val="center"/>
        <w:rPr>
          <w:caps/>
          <w:color w:val="000000"/>
          <w:sz w:val="40"/>
          <w:lang w:val="en-US" w:eastAsia="en-US"/>
        </w:rPr>
      </w:pPr>
      <w:r>
        <w:rPr>
          <w:caps/>
          <w:color w:val="000000"/>
          <w:sz w:val="40"/>
          <w:lang w:val="en-US" w:eastAsia="en-US"/>
        </w:rPr>
        <mc:AlternateContent>
          <mc:Choice Requires="wps">
            <w:drawing>
              <wp:anchor behindDoc="0" distT="0" distB="0" distL="114935" distR="114300" simplePos="0" locked="0" layoutInCell="0" allowOverlap="1" relativeHeight="2">
                <wp:simplePos x="0" y="0"/>
                <wp:positionH relativeFrom="margin">
                  <wp:posOffset>0</wp:posOffset>
                </wp:positionH>
                <wp:positionV relativeFrom="page">
                  <wp:posOffset>252095</wp:posOffset>
                </wp:positionV>
                <wp:extent cx="6588125" cy="10187940"/>
                <wp:effectExtent l="635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00" cy="10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19.85pt;width:518.7pt;height:802.15pt;mso-wrap-style:none;v-text-anchor:middle;mso-position-horizontal-relative:margin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РАБОЧАЯ программа</w: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 04.01 </w:t>
      </w:r>
      <w:r>
        <w:rPr>
          <w:b/>
          <w:bCs/>
          <w:caps/>
          <w:sz w:val="28"/>
          <w:szCs w:val="28"/>
        </w:rPr>
        <w:t>учебной практики</w:t>
      </w:r>
    </w:p>
    <w:p>
      <w:pPr>
        <w:pStyle w:val="Normal"/>
        <w:suppressAutoHyphens w:val="true"/>
        <w:jc w:val="center"/>
        <w:rPr>
          <w:b/>
          <w:bCs/>
          <w:caps/>
          <w:sz w:val="28"/>
          <w:szCs w:val="28"/>
        </w:rPr>
      </w:pPr>
      <w:r>
        <w:rPr>
          <w:b/>
          <w:color w:val="000000"/>
          <w:sz w:val="28"/>
          <w:szCs w:val="28"/>
        </w:rPr>
        <w:t>ЭЛЕКТРОМОНТЕР ПО ОБСЛУЖИВАНИЮ И РЕМОНТУ УСТРОЙСТВ СИГНАЛИЗАЦИИ, ЦЕНТРАЛИЗАЦИИ И БЛОКИРОВКИ</w:t>
      </w:r>
    </w:p>
    <w:p>
      <w:pPr>
        <w:pStyle w:val="FR1"/>
        <w:suppressAutoHyphens w:val="true"/>
        <w:spacing w:lineRule="auto" w:line="24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специальности </w:t>
      </w:r>
    </w:p>
    <w:p>
      <w:pPr>
        <w:pStyle w:val="FR1"/>
        <w:suppressAutoHyphens w:val="true"/>
        <w:spacing w:lineRule="auto" w:line="24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27.02.03 Автоматика и телемеханика на транспорте                                                               (железнодорожном транспорте)</w:t>
      </w:r>
    </w:p>
    <w:p>
      <w:pPr>
        <w:pStyle w:val="Normal"/>
        <w:spacing w:lineRule="auto" w:line="360"/>
        <w:jc w:val="center"/>
        <w:rPr>
          <w:b/>
          <w:i/>
          <w:i/>
          <w:sz w:val="28"/>
          <w:szCs w:val="22"/>
        </w:rPr>
      </w:pPr>
      <w:r>
        <w:rPr>
          <w:b/>
          <w:i/>
          <w:sz w:val="28"/>
          <w:szCs w:val="22"/>
        </w:rPr>
      </w:r>
    </w:p>
    <w:p>
      <w:pPr>
        <w:pStyle w:val="Normal"/>
        <w:spacing w:lineRule="auto" w:line="360"/>
        <w:jc w:val="center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pacing w:lineRule="auto" w:line="360"/>
        <w:jc w:val="center"/>
        <w:rPr>
          <w:i/>
          <w:i/>
          <w:szCs w:val="22"/>
        </w:rPr>
      </w:pPr>
      <w:r>
        <w:rPr>
          <w:i/>
          <w:szCs w:val="22"/>
        </w:rPr>
        <w:t xml:space="preserve">Базовая подготовка </w:t>
      </w:r>
    </w:p>
    <w:p>
      <w:pPr>
        <w:pStyle w:val="Normal"/>
        <w:spacing w:lineRule="auto" w:line="360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среднего профессионального образования</w:t>
      </w:r>
    </w:p>
    <w:p>
      <w:pPr>
        <w:pStyle w:val="Normal"/>
        <w:spacing w:lineRule="auto" w:line="360"/>
        <w:jc w:val="center"/>
        <w:rPr/>
      </w:pPr>
      <w:r>
        <w:rPr>
          <w:i/>
          <w:szCs w:val="22"/>
        </w:rPr>
        <w:t xml:space="preserve">(год начала подготовки 2023г.) </w:t>
      </w:r>
    </w:p>
    <w:p>
      <w:pPr>
        <w:pStyle w:val="FR1"/>
        <w:suppressAutoHyphens w:val="true"/>
        <w:spacing w:lineRule="auto" w:line="240" w:before="0" w:after="0"/>
        <w:jc w:val="center"/>
        <w:rPr>
          <w:b/>
          <w:i/>
          <w:i/>
          <w:szCs w:val="22"/>
        </w:rPr>
      </w:pPr>
      <w:r>
        <w:rPr>
          <w:b/>
          <w:i/>
          <w:szCs w:val="22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709" w:right="709" w:gutter="0" w:header="0" w:top="1134" w:footer="0" w:bottom="816"/>
          <w:pgNumType w:fmt="decimal"/>
          <w:formProt w:val="false"/>
          <w:textDirection w:val="lrTb"/>
          <w:docGrid w:type="default" w:linePitch="360" w:charSpace="0"/>
        </w:sectPr>
        <w:pStyle w:val="FR1"/>
        <w:suppressAutoHyphens w:val="true"/>
        <w:spacing w:lineRule="auto" w:line="27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Heading1"/>
        <w:ind w:hanging="431" w:left="431" w:right="0"/>
        <w:jc w:val="center"/>
        <w:rPr>
          <w:b/>
          <w:sz w:val="28"/>
          <w:szCs w:val="28"/>
        </w:rPr>
      </w:pPr>
      <w:r>
        <w:rPr>
          <w:rStyle w:val="5"/>
          <w:bCs w:val="false"/>
          <w:i w:val="false"/>
          <w:iCs w:val="false"/>
          <w:sz w:val="28"/>
          <w:szCs w:val="28"/>
        </w:rPr>
        <w:t>1 ПАСПОРТ РАБОЧЕЙ ПРОГРАММЫ</w:t>
      </w:r>
      <w:r>
        <w:rPr>
          <w:b/>
          <w:sz w:val="28"/>
          <w:szCs w:val="28"/>
        </w:rPr>
        <w:t>УЧЕБНОЙ ПРАКТИКИ</w:t>
      </w:r>
    </w:p>
    <w:p>
      <w:pPr>
        <w:pStyle w:val="Normal1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1"/>
          <w:numId w:val="5"/>
        </w:num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Область применения программы</w:t>
      </w:r>
    </w:p>
    <w:p>
      <w:pPr>
        <w:pStyle w:val="Normal"/>
        <w:suppressAutoHyphens w:val="true"/>
        <w:ind w:firstLine="709" w:right="0"/>
        <w:jc w:val="both"/>
        <w:rPr>
          <w:rFonts w:eastAsia="SimSun;宋体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Рабочая программа учебной практики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>(электромонтер по обслуживанию и ремонту устройств СЦБ 4 разряда) является частью программы подготовки специалистов среднего звена в соответствии с ФГОС СПО по специальности 27.02.03 Автоматика и телемеханика на транспорте (железнодорожном транспорте)</w:t>
      </w:r>
      <w:r>
        <w:rPr>
          <w:b/>
          <w:sz w:val="28"/>
          <w:szCs w:val="28"/>
          <w:lang w:eastAsia="ru-RU"/>
        </w:rPr>
        <w:t xml:space="preserve"> </w:t>
      </w:r>
      <w:r>
        <w:rPr>
          <w:rFonts w:eastAsia="SimSun;宋体"/>
          <w:sz w:val="28"/>
          <w:szCs w:val="28"/>
        </w:rPr>
        <w:t xml:space="preserve">в части освоения квалификации </w:t>
      </w:r>
      <w:r>
        <w:rPr>
          <w:bCs/>
          <w:sz w:val="28"/>
          <w:szCs w:val="28"/>
          <w:lang w:eastAsia="ru-RU"/>
        </w:rPr>
        <w:t>«Техник» и основного</w:t>
      </w:r>
      <w:r>
        <w:rPr>
          <w:sz w:val="28"/>
          <w:szCs w:val="28"/>
          <w:lang w:eastAsia="ru-RU"/>
        </w:rPr>
        <w:t xml:space="preserve"> вида профессиональной деятельности (ВД):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rFonts w:eastAsia="SimSun;宋体"/>
          <w:spacing w:val="-1"/>
          <w:sz w:val="28"/>
          <w:szCs w:val="28"/>
        </w:rPr>
      </w:pPr>
      <w:bookmarkStart w:id="0" w:name="_Hlk166943629"/>
      <w:bookmarkStart w:id="1" w:name="_Hlk143509637"/>
      <w:bookmarkEnd w:id="1"/>
      <w:r>
        <w:rPr>
          <w:sz w:val="28"/>
          <w:szCs w:val="28"/>
          <w:lang w:eastAsia="en-US"/>
        </w:rPr>
        <w:t>Освоение профессий рабочих, должностей служащих (электромонтер по обслуживанию и ремонту устройств сигнализации, централизации и блокировки</w:t>
      </w:r>
      <w:bookmarkEnd w:id="0"/>
      <w:r>
        <w:rPr>
          <w:sz w:val="28"/>
          <w:szCs w:val="28"/>
          <w:lang w:eastAsia="en-US"/>
        </w:rPr>
        <w:t>).</w:t>
      </w:r>
    </w:p>
    <w:p>
      <w:pPr>
        <w:pStyle w:val="Normal"/>
        <w:tabs>
          <w:tab w:val="clear" w:pos="708"/>
          <w:tab w:val="left" w:pos="993" w:leader="none"/>
        </w:tabs>
        <w:jc w:val="both"/>
        <w:rPr/>
      </w:pPr>
      <w:bookmarkStart w:id="2" w:name="_Hlk143509637"/>
      <w:bookmarkEnd w:id="2"/>
      <w:r>
        <w:rPr>
          <w:b/>
          <w:bCs/>
          <w:sz w:val="28"/>
          <w:szCs w:val="28"/>
          <w:lang w:eastAsia="ru-RU"/>
        </w:rPr>
        <w:t>1.2.</w:t>
      </w:r>
      <w:r>
        <w:rPr>
          <w:bCs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Цели и задачи </w:t>
      </w:r>
      <w:r>
        <w:rPr>
          <w:b/>
          <w:bCs/>
          <w:sz w:val="28"/>
          <w:szCs w:val="28"/>
          <w:lang w:eastAsia="ru-RU"/>
        </w:rPr>
        <w:t>учебной практики</w:t>
      </w:r>
      <w:r>
        <w:rPr>
          <w:b/>
          <w:sz w:val="28"/>
          <w:szCs w:val="28"/>
          <w:lang w:eastAsia="ru-RU"/>
        </w:rPr>
        <w:t xml:space="preserve"> – требования к результатам освоения </w:t>
      </w:r>
      <w:r>
        <w:rPr>
          <w:b/>
          <w:bCs/>
          <w:sz w:val="28"/>
          <w:szCs w:val="28"/>
          <w:lang w:eastAsia="ru-RU"/>
        </w:rPr>
        <w:t>учебной практики</w:t>
      </w:r>
      <w:r>
        <w:rPr>
          <w:b/>
          <w:i/>
          <w:lang w:eastAsia="ru-RU"/>
        </w:rPr>
        <w:t>:</w:t>
      </w:r>
    </w:p>
    <w:p>
      <w:pPr>
        <w:pStyle w:val="Normal"/>
        <w:keepNext w:val="true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9" w:righ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Учебная практика по специальности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  <w:t xml:space="preserve">27.02.03 Автоматика и телемеханика на транспорте (железнодорожном транспорте) </w:t>
      </w:r>
      <w:r>
        <w:rPr>
          <w:color w:val="1A1A1A"/>
          <w:sz w:val="28"/>
          <w:szCs w:val="28"/>
        </w:rPr>
        <w:t xml:space="preserve">направлена на формирование у обучающихся умений, знаний и приобретение первоначального практического опыта и реализуется в рамках профессионального модуля ПМ.04 Освоение одной или нескольких профессий рабочих, должностей служащих (электромонтер по обслуживанию и ремонту устройств СЦБ) </w:t>
      </w:r>
      <w:r>
        <w:rPr>
          <w:sz w:val="28"/>
          <w:szCs w:val="28"/>
          <w:lang w:eastAsia="ru-RU"/>
        </w:rPr>
        <w:t>ОПОП-ППССЗ</w:t>
      </w:r>
      <w:r>
        <w:rPr>
          <w:color w:val="1A1A1A"/>
          <w:sz w:val="28"/>
          <w:szCs w:val="28"/>
        </w:rPr>
        <w:t xml:space="preserve"> по основному виду профессиональной деятельности </w:t>
      </w:r>
      <w:r>
        <w:rPr>
          <w:sz w:val="28"/>
          <w:szCs w:val="28"/>
        </w:rPr>
        <w:t xml:space="preserve">Освоение профессий рабочих, должностей служащих (электромонтер по обслуживанию </w:t>
      </w:r>
      <w:bookmarkStart w:id="3" w:name="_Hlk166943745"/>
      <w:r>
        <w:rPr>
          <w:sz w:val="28"/>
          <w:szCs w:val="28"/>
        </w:rPr>
        <w:t>и ремонту устройств сигнализации, централизации и блокировки</w:t>
      </w:r>
      <w:bookmarkEnd w:id="3"/>
      <w:r>
        <w:rPr>
          <w:sz w:val="28"/>
          <w:szCs w:val="28"/>
        </w:rPr>
        <w:t xml:space="preserve">) </w:t>
      </w:r>
      <w:r>
        <w:rPr>
          <w:color w:val="1A1A1A"/>
          <w:sz w:val="28"/>
          <w:szCs w:val="28"/>
        </w:rPr>
        <w:t>для последующего освоения ими общих и профессиональных компетенций по специальности.</w:t>
      </w:r>
    </w:p>
    <w:p>
      <w:pPr>
        <w:pStyle w:val="Normal"/>
        <w:keepNext w:val="true"/>
        <w:numPr>
          <w:ilvl w:val="0"/>
          <w:numId w:val="1"/>
        </w:numPr>
        <w:tabs>
          <w:tab w:val="clear" w:pos="708"/>
        </w:tabs>
        <w:ind w:firstLine="709" w:left="0" w:right="0"/>
        <w:jc w:val="both"/>
        <w:outlineLvl w:val="0"/>
        <w:rPr>
          <w:bCs/>
          <w:iCs/>
          <w:spacing w:val="2"/>
          <w:sz w:val="28"/>
          <w:szCs w:val="28"/>
          <w:lang w:eastAsia="ru-RU"/>
        </w:rPr>
      </w:pPr>
      <w:r>
        <w:rPr>
          <w:bCs/>
          <w:iCs/>
          <w:spacing w:val="2"/>
          <w:sz w:val="28"/>
          <w:szCs w:val="28"/>
          <w:lang w:eastAsia="ru-RU"/>
        </w:rPr>
        <w:t>Задачами</w:t>
      </w:r>
      <w:r>
        <w:rPr>
          <w:bCs/>
          <w:iCs/>
          <w:spacing w:val="2"/>
          <w:sz w:val="28"/>
          <w:szCs w:val="28"/>
          <w:lang w:eastAsia="ru-RU"/>
        </w:rPr>
        <w:t xml:space="preserve"> учебной практики</w:t>
      </w:r>
      <w:r>
        <w:rPr>
          <w:bCs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bCs/>
          <w:iCs/>
          <w:color w:val="000000"/>
          <w:spacing w:val="2"/>
          <w:sz w:val="28"/>
          <w:szCs w:val="28"/>
          <w:lang w:eastAsia="ru-RU"/>
        </w:rPr>
        <w:t>являю</w:t>
      </w:r>
      <w:r>
        <w:rPr>
          <w:bCs/>
          <w:iCs/>
          <w:spacing w:val="2"/>
          <w:sz w:val="28"/>
          <w:szCs w:val="28"/>
          <w:lang w:eastAsia="ru-RU"/>
        </w:rPr>
        <w:t>тся</w:t>
      </w:r>
      <w:r>
        <w:rPr>
          <w:bCs/>
          <w:iCs/>
          <w:spacing w:val="2"/>
          <w:sz w:val="28"/>
          <w:szCs w:val="28"/>
          <w:lang w:eastAsia="ru-RU"/>
        </w:rPr>
        <w:t>:</w:t>
      </w:r>
    </w:p>
    <w:p>
      <w:pPr>
        <w:pStyle w:val="Normal"/>
        <w:keepNext w:val="true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9" w:right="0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>формирование у обучающихся практических профессиональных компетенций по основному виду деятельности</w:t>
      </w:r>
      <w:r>
        <w:rPr>
          <w:sz w:val="28"/>
          <w:szCs w:val="28"/>
        </w:rPr>
        <w:t xml:space="preserve"> Освоение профессий рабочих, должностей служащих (электромонтер по обслуживанию и ремонту устройств сигнализации, централизации и блокировки);</w:t>
      </w:r>
    </w:p>
    <w:p>
      <w:pPr>
        <w:pStyle w:val="Normal"/>
        <w:keepNext w:val="true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9" w:right="0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>для обучения трудовым приемам, операциям и способам выполнения трудовых процессов и для последующего освоения ими общих и профессиональных компетенций.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sz w:val="28"/>
          <w:szCs w:val="28"/>
          <w:lang w:eastAsia="ru-RU"/>
        </w:rPr>
        <w:t xml:space="preserve">Обучающийся в ходе освоения </w:t>
      </w:r>
      <w:r>
        <w:rPr>
          <w:bCs/>
          <w:sz w:val="28"/>
          <w:szCs w:val="28"/>
          <w:lang w:eastAsia="ru-RU"/>
        </w:rPr>
        <w:t>учебной практики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должен:</w:t>
      </w:r>
    </w:p>
    <w:p>
      <w:pPr>
        <w:pStyle w:val="Normal"/>
        <w:spacing w:lineRule="auto" w:line="276"/>
        <w:ind w:firstLine="709" w:right="0"/>
        <w:jc w:val="both"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иметь практический опыт: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технического обслуживания, текущего ремонта, монтажа, регулировки устройств и систем механической и электрической централизации ЖАТ;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технического обслуживания устройств автоблокировки, ремонта, монтажа и регулировки напольных;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установки и монтажа оборудования, аппаратуры и приборов систем сигнализации, централизации и блокировки, источников основного и резервного электропитания.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проведения пусконаладочных работ при установке технических средств сигнализации, централизации и блокировки, источников основного и резервного электропитания.</w:t>
      </w:r>
    </w:p>
    <w:p>
      <w:pPr>
        <w:pStyle w:val="Normal"/>
        <w:ind w:firstLine="709" w:right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уметь: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содержать в исправном состоянии, ремонтировать, регулировать, заменять неисправные устройства систем ЖАТ;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производить монтаж механических частей устройств СЦБ в соответствии с утвержденным графиком;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выполнять настройку и регулировку электрических элементов устройств СЦБ;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проверять в процессе технического обслуживания состояние монтажа, крепления и внешний вид аппаратуры, срабатывание и работоспособность элементов устройств СЦБ;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анализировать причины отказов и неисправностей электромеханических элементов и устройств СЦБ и принимать меры по их устранению;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производить испытания средств контроля электрических цепей блокировки, систем централизации и сигнализации;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наблюдать за правильной эксплуатацией устройств СЦБ и систем ЖАТ;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соблюдать правила безопасности труда, электробезопасности, пожарной безопасности;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устанавливать, монтировать и присоединять шкафы ввода блокировки приборов и релейных полок, а также батарейных колодцев;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регулировать различные устройства электросигнализации и сигнальные автоблокировки;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проводить проверку по электрическим схемам;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монтировать муфты, дроссельные клапаны и заземления для всех типов устройств;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прокладывать и разделять сигнальные провода в любых подвидах муфт;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подключать и проверять кабельные жилы с расшивкой и дальнейшей прозвоном.</w:t>
      </w:r>
    </w:p>
    <w:p>
      <w:pPr>
        <w:pStyle w:val="Normal"/>
        <w:ind w:firstLine="709" w:right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знать: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основы электротехники и электроники;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устройства, правила и нормы технического обслуживания, ремонта, монтажа и регулировки механических частей устройства систем ЖАТ;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устройства, принципы действия, технические характеристики и конструктивные особенности приборов и оборудования СЦБ;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технологии работ по монтажу аппаратуры систем СЦБ и исполнительных устройств;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способы устранения повреждений устройств сигнализации, централизации и блокировки;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электрические схемы для монтажа оборудования и способы их тестирования;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устройства электроаппаратов, видов крепежа арматуры, типов электро- и пневмоинструментов;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способы проверочных работ и варианты наладки приборов для автоматических сигнализационных устройств и управления;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последовательности проверки проводки;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правила ведения работ в зонах повышенной опасности; </w:t>
      </w:r>
    </w:p>
    <w:p>
      <w:pPr>
        <w:pStyle w:val="Normal"/>
        <w:numPr>
          <w:ilvl w:val="0"/>
          <w:numId w:val="4"/>
        </w:numPr>
        <w:ind w:firstLine="709" w:left="0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ТУ на передачу в эксплуатацию инженерных коммуникаций.</w:t>
      </w:r>
      <w:r>
        <w:br w:type="page"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b/>
          <w:bCs/>
          <w:sz w:val="28"/>
          <w:szCs w:val="28"/>
          <w:lang w:eastAsia="ru-RU"/>
        </w:rPr>
        <w:t>1.3. Требования к результатам освоения учебной практики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8"/>
          <w:szCs w:val="28"/>
          <w:lang w:eastAsia="ru-RU"/>
        </w:rPr>
        <w:t>В результате прохождения учебной</w:t>
      </w:r>
      <w:r>
        <w:rPr/>
        <w:t xml:space="preserve"> практики по ВД обучающийся должен освоить: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47"/>
        <w:gridCol w:w="5052"/>
      </w:tblGrid>
      <w:tr>
        <w:trPr/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142" w:right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142" w:right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Вид 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142" w:right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142" w:right="0"/>
              <w:jc w:val="center"/>
              <w:rPr/>
            </w:pPr>
            <w:r>
              <w:rPr>
                <w:b/>
                <w:sz w:val="28"/>
                <w:szCs w:val="28"/>
                <w:lang w:eastAsia="ru-RU"/>
              </w:rPr>
              <w:t>Профессиональные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ind w:firstLine="142" w:right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компетенции</w:t>
            </w:r>
          </w:p>
        </w:tc>
      </w:tr>
      <w:tr>
        <w:trPr>
          <w:trHeight w:val="2222" w:hRule="atLeast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76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en-US"/>
              </w:rPr>
              <w:t>Освоение профессий рабочих, должностей служащих (электромонтер по обслуживанию и ремонту устройств сигнализации, централизации и блокировки)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autoSpaceDE w:val="false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ПК 4.1</w:t>
            </w:r>
          </w:p>
          <w:p>
            <w:pPr>
              <w:pStyle w:val="Normal"/>
              <w:suppressAutoHyphens w:val="true"/>
              <w:autoSpaceDE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en-US"/>
              </w:rPr>
              <w:t>Выполнение работ по профессии Электромонтер по обслуживанию и ремонту устройств сигнализации, централизации и блокировки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76"/>
        <w:ind w:firstLine="709" w:right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1.4. Формы контроля:</w:t>
      </w:r>
    </w:p>
    <w:p>
      <w:pPr>
        <w:pStyle w:val="Normal"/>
        <w:widowControl w:val="false"/>
        <w:shd w:fill="FFFFFF" w:val="clear"/>
        <w:autoSpaceDE w:val="false"/>
        <w:rPr/>
      </w:pPr>
      <w:r>
        <w:rPr>
          <w:sz w:val="28"/>
          <w:szCs w:val="28"/>
          <w:lang w:eastAsia="ru-RU"/>
        </w:rPr>
        <w:t>дифференцированный зачет</w:t>
      </w:r>
      <w:r>
        <w:rPr>
          <w:rFonts w:eastAsia="Calibri"/>
          <w:bCs/>
          <w:color w:val="000000"/>
          <w:sz w:val="28"/>
          <w:szCs w:val="28"/>
          <w:lang w:eastAsia="ru-RU"/>
        </w:rPr>
        <w:t xml:space="preserve"> (6 семестр)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b/>
          <w:bCs/>
          <w:sz w:val="28"/>
          <w:szCs w:val="28"/>
          <w:lang w:eastAsia="ru-RU"/>
        </w:rPr>
        <w:t>1.5. Количество часов на освоение программы учебной практики.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  <w:lang w:eastAsia="ru-RU"/>
        </w:rPr>
        <w:t xml:space="preserve">Всего – </w:t>
      </w:r>
      <w:r>
        <w:rPr>
          <w:b/>
          <w:sz w:val="28"/>
          <w:szCs w:val="28"/>
          <w:lang w:eastAsia="ru-RU"/>
        </w:rPr>
        <w:t xml:space="preserve">36 </w:t>
      </w:r>
      <w:r>
        <w:rPr>
          <w:sz w:val="28"/>
          <w:szCs w:val="28"/>
          <w:lang w:eastAsia="ru-RU"/>
        </w:rPr>
        <w:t>часов.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  <w:t xml:space="preserve">2. УЧЕБНАЯ ПРАКТИКА ПО ПРОФЕССИОНАЛЬНОМУ МОДУЛЮ </w:t>
      </w:r>
      <w:r>
        <w:rPr>
          <w:b/>
          <w:iCs/>
          <w:caps/>
          <w:sz w:val="28"/>
          <w:lang w:eastAsia="ru-RU"/>
        </w:rPr>
        <w:t>ПМ.04 Освоение одной или нескольких профессий рабочих, должностей служащих (электромонтер по обслуживанию и ремонту устройств СЦБ)</w:t>
      </w:r>
    </w:p>
    <w:p>
      <w:pPr>
        <w:pStyle w:val="Normal"/>
        <w:spacing w:lineRule="auto" w:line="276"/>
        <w:ind w:firstLine="709" w:right="0"/>
        <w:jc w:val="both"/>
        <w:rPr>
          <w:b/>
          <w:bCs/>
          <w:iCs/>
          <w:sz w:val="28"/>
          <w:szCs w:val="22"/>
          <w:lang w:eastAsia="ru-RU"/>
        </w:rPr>
      </w:pPr>
      <w:r>
        <w:rPr>
          <w:b/>
          <w:bCs/>
          <w:iCs/>
          <w:sz w:val="28"/>
          <w:szCs w:val="22"/>
          <w:lang w:eastAsia="ru-RU"/>
        </w:rPr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b/>
          <w:bCs/>
          <w:sz w:val="28"/>
          <w:szCs w:val="28"/>
          <w:lang w:eastAsia="ru-RU"/>
        </w:rPr>
        <w:t>2.1. Результаты освоения программы учебной практики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8"/>
          <w:szCs w:val="28"/>
          <w:lang w:eastAsia="ru-RU"/>
        </w:rPr>
        <w:t>Результатом освоения программы учебной практики являются сформированные общие (ОК) и профессиональные компетенции (ПК</w:t>
      </w:r>
      <w:r>
        <w:rPr>
          <w:i/>
          <w:sz w:val="28"/>
          <w:szCs w:val="28"/>
          <w:lang w:eastAsia="ru-RU"/>
        </w:rPr>
        <w:t>):</w:t>
      </w:r>
    </w:p>
    <w:p>
      <w:pPr>
        <w:pStyle w:val="Normal"/>
        <w:spacing w:lineRule="auto" w:line="276"/>
        <w:ind w:firstLine="709" w:right="0"/>
        <w:jc w:val="both"/>
        <w:rPr>
          <w:i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</w:r>
    </w:p>
    <w:tbl>
      <w:tblPr>
        <w:tblW w:w="96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232"/>
      </w:tblGrid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  <w:t>ВД 04</w:t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Освоение профессий рабочих, должностей служащих</w:t>
            </w:r>
            <w:r>
              <w:rPr/>
              <w:t xml:space="preserve">: </w:t>
            </w:r>
            <w:r>
              <w:rPr>
                <w:rFonts w:eastAsia="TimesNewRomanPSMT;MS Gothic"/>
                <w:sz w:val="28"/>
                <w:szCs w:val="28"/>
                <w:lang w:eastAsia="ru-RU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  <w:t>ПК 4.1</w:t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Выполнение работ по профессии Электромонтер по обслуживанию и ремонту устройств сигнализации,</w:t>
            </w:r>
          </w:p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MT;MS Gothic"/>
                <w:sz w:val="28"/>
                <w:szCs w:val="28"/>
                <w:lang w:eastAsia="ru-RU"/>
              </w:rPr>
              <w:t>централизации и блокировки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02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TimesNewRomanPS-BoldMT;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ОК 09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  <w:p>
            <w:pPr>
              <w:pStyle w:val="Normal"/>
              <w:autoSpaceDE w:val="false"/>
              <w:jc w:val="both"/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TimesNewRomanPS-BoldMT;Arial Unicode MS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76"/>
        <w:rPr/>
      </w:pPr>
      <w:r>
        <w:rPr>
          <w:b/>
          <w:bCs/>
          <w:sz w:val="28"/>
          <w:szCs w:val="28"/>
          <w:lang w:eastAsia="ru-RU"/>
        </w:rPr>
        <w:t>2.2. Содержание учебной практики</w:t>
      </w:r>
    </w:p>
    <w:p>
      <w:pPr>
        <w:pStyle w:val="Normal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tbl>
      <w:tblPr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169"/>
        <w:gridCol w:w="4820"/>
        <w:gridCol w:w="1134"/>
        <w:gridCol w:w="2693"/>
        <w:gridCol w:w="2693"/>
      </w:tblGrid>
      <w:tr>
        <w:trPr>
          <w:trHeight w:val="319" w:hRule="atLeast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ПК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работ, обеспечивающих формирование 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 практики (рассредоточено/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концентрированно) с указанием базы практики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Показатели освоения ПК</w:t>
            </w:r>
          </w:p>
        </w:tc>
      </w:tr>
      <w:tr>
        <w:trPr>
          <w:trHeight w:val="319" w:hRule="atLeast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>
          <w:trHeight w:val="465" w:hRule="atLeast"/>
        </w:trPr>
        <w:tc>
          <w:tcPr>
            <w:tcW w:w="15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УП.04.01 Учебная практика (электромонтер по обслуживанию и ремонту устройств СЦБ), 36 часов (6 семестр)</w:t>
            </w:r>
          </w:p>
        </w:tc>
      </w:tr>
      <w:tr>
        <w:trPr>
          <w:trHeight w:val="557" w:hRule="atLeast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ПК 4.1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rFonts w:eastAsia="TimesNewRomanPSMT;MS Gothic"/>
              </w:rPr>
              <w:t>Выполнение работ по профессии «Электромонтер по обслуживанию и ремонту устройств сигнализации,</w:t>
            </w:r>
          </w:p>
          <w:p>
            <w:pPr>
              <w:pStyle w:val="Normal"/>
              <w:jc w:val="center"/>
              <w:rPr>
                <w:rFonts w:eastAsia="TimesNewRomanPSMT;MS Gothic"/>
              </w:rPr>
            </w:pPr>
            <w:r>
              <w:rPr>
                <w:rFonts w:eastAsia="TimesNewRomanPSMT;MS Gothic"/>
              </w:rPr>
              <w:t>централизации и блокировки».</w:t>
            </w:r>
          </w:p>
          <w:p>
            <w:pPr>
              <w:pStyle w:val="Normal"/>
              <w:jc w:val="center"/>
              <w:rPr>
                <w:rFonts w:eastAsia="TimesNewRomanPSMT;MS Gothic"/>
              </w:rPr>
            </w:pPr>
            <w:r>
              <w:rPr>
                <w:rFonts w:eastAsia="TimesNewRomanPSMT;MS Gothic"/>
              </w:rPr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ind w:right="5"/>
              <w:jc w:val="center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en-US"/>
              </w:rPr>
            </w:pPr>
            <w:r>
              <w:rPr>
                <w:bCs/>
                <w:iCs/>
              </w:rPr>
              <w:t>Ознакомление с организацией ремонтных работ в хозяйстве автоматики и телемеханики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firstLine="43" w:right="0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</w:t>
            </w:r>
            <w:r>
              <w:rPr>
                <w:rFonts w:eastAsia="Calibri Light"/>
              </w:rPr>
              <w:t xml:space="preserve"> филиал ПривГУПС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Демонстрация знаний порядка организации ремонтных работ в </w:t>
            </w:r>
            <w:r>
              <w:rPr>
                <w:bCs/>
                <w:iCs/>
              </w:rPr>
              <w:t>хозяйстве автоматики и телемеханики.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iCs/>
              </w:rPr>
              <w:t>Демонстрация знаний и умений выполнения пайки, лужения, электромонтажных операций с проводами и кабелями, работы со стрелочными электроприводам, гарнитурами и контрольными замками, сборки электрических цепей по монтажным схемам, проверки работы выполненной схемы, прозвонки цепей для обнаружения неисправностей</w:t>
            </w:r>
          </w:p>
        </w:tc>
      </w:tr>
      <w:tr>
        <w:trPr>
          <w:trHeight w:val="1407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iCs/>
              </w:rPr>
              <w:t>Пайка. Лужение. Электромонтажные операции с проводами и кабелями</w:t>
            </w:r>
          </w:p>
          <w:p>
            <w:pPr>
              <w:pStyle w:val="Normal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firstLine="43" w:right="0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</w:t>
            </w:r>
            <w:r>
              <w:rPr>
                <w:rFonts w:eastAsia="Calibri Light"/>
              </w:rPr>
              <w:t xml:space="preserve"> филиал ПривГУПС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12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iCs/>
              </w:rPr>
              <w:t>Работа со стрелочными электроприводами, гарнитурами и контрольными замками.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firstLine="43" w:right="0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</w:t>
            </w:r>
            <w:r>
              <w:rPr>
                <w:rFonts w:eastAsia="Calibri Light"/>
              </w:rPr>
              <w:t xml:space="preserve"> филиал ПривГУПС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63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en-US"/>
              </w:rPr>
            </w:pPr>
            <w:r>
              <w:rPr>
                <w:bCs/>
                <w:iCs/>
              </w:rPr>
              <w:t>Сборка электрических цепей по монтажным схемам. Проверка работы выполненной схемы.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firstLine="43" w:right="0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</w:t>
            </w:r>
            <w:r>
              <w:rPr>
                <w:rFonts w:eastAsia="Calibri Light"/>
              </w:rPr>
              <w:t xml:space="preserve"> филиал ПривГУПС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74" w:hRule="atLeast"/>
        </w:trPr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018" w:leader="none"/>
              </w:tabs>
              <w:autoSpaceDE w:val="false"/>
              <w:snapToGrid w:val="false"/>
              <w:ind w:right="5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«Прозвонка» цепей для обнаружения и устранения неисправностей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autoSpaceDE w:val="false"/>
              <w:ind w:firstLine="43" w:right="0"/>
              <w:jc w:val="center"/>
              <w:rPr/>
            </w:pPr>
            <w:r>
              <w:rPr/>
              <w:t>Концентрированно/</w:t>
            </w:r>
          </w:p>
          <w:p>
            <w:pPr>
              <w:pStyle w:val="Normal"/>
              <w:jc w:val="center"/>
              <w:rPr/>
            </w:pPr>
            <w:r>
              <w:rPr/>
              <w:t>Дистанция СЦБ/</w:t>
            </w:r>
            <w:r>
              <w:rPr>
                <w:rFonts w:eastAsia="Calibri Light"/>
              </w:rPr>
              <w:t xml:space="preserve"> филиал ПривГУПС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7" w:hRule="atLeast"/>
        </w:trPr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rPr>
                <w:b/>
              </w:rPr>
            </w:pPr>
            <w:r>
              <w:rPr>
                <w:b/>
              </w:rPr>
              <w:t>Промежуточная аттестация в форме дифференцированного зачета в 6 семестре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7" w:hRule="atLeast"/>
        </w:trPr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rPr>
                <w:b/>
              </w:rPr>
            </w:pPr>
            <w:r>
              <w:rPr>
                <w:b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838" w:h="11906"/>
          <w:pgMar w:left="1134" w:right="720" w:gutter="0" w:header="0" w:top="851" w:footer="0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>
          <w:b/>
          <w:bCs/>
          <w:szCs w:val="22"/>
          <w:lang w:eastAsia="ru-RU"/>
        </w:rPr>
        <w:t>2.3. Содержание разделов учебной практики</w:t>
      </w:r>
    </w:p>
    <w:p>
      <w:pPr>
        <w:pStyle w:val="Normal"/>
        <w:rPr>
          <w:b/>
          <w:bCs/>
          <w:szCs w:val="22"/>
          <w:lang w:eastAsia="ru-RU"/>
        </w:rPr>
      </w:pPr>
      <w:r>
        <w:rPr>
          <w:b/>
          <w:bCs/>
          <w:szCs w:val="22"/>
          <w:lang w:eastAsia="ru-RU"/>
        </w:rPr>
      </w:r>
    </w:p>
    <w:tbl>
      <w:tblPr>
        <w:tblW w:w="97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379"/>
        <w:gridCol w:w="676"/>
        <w:gridCol w:w="676"/>
        <w:gridCol w:w="676"/>
        <w:gridCol w:w="676"/>
      </w:tblGrid>
      <w:tr>
        <w:trPr/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№№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 xml:space="preserve">Виды работы на </w:t>
            </w:r>
          </w:p>
          <w:p>
            <w:pPr>
              <w:pStyle w:val="Normal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 xml:space="preserve">практике, включая </w:t>
            </w:r>
          </w:p>
          <w:p>
            <w:pPr>
              <w:pStyle w:val="Normal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 xml:space="preserve">самостоятельную </w:t>
            </w:r>
          </w:p>
          <w:p>
            <w:pPr>
              <w:pStyle w:val="Normal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работу обучающихся, ч</w:t>
            </w:r>
          </w:p>
        </w:tc>
      </w:tr>
      <w:tr>
        <w:trPr>
          <w:trHeight w:val="2005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right"/>
              <w:rPr>
                <w:b/>
                <w:bCs/>
                <w:i/>
                <w:i/>
                <w:szCs w:val="22"/>
                <w:lang w:eastAsia="ru-RU"/>
              </w:rPr>
            </w:pPr>
            <w:r>
              <w:rPr>
                <w:b/>
                <w:bCs/>
                <w:i/>
                <w:szCs w:val="22"/>
                <w:lang w:eastAsia="ru-RU"/>
              </w:rPr>
            </w:r>
          </w:p>
        </w:tc>
        <w:tc>
          <w:tcPr>
            <w:tcW w:w="6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right"/>
              <w:rPr>
                <w:b/>
                <w:bCs/>
                <w:i/>
                <w:i/>
                <w:szCs w:val="22"/>
                <w:lang w:eastAsia="ru-RU"/>
              </w:rPr>
            </w:pPr>
            <w:r>
              <w:rPr>
                <w:b/>
                <w:bCs/>
                <w:i/>
                <w:szCs w:val="22"/>
                <w:lang w:eastAsia="ru-RU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подготовительные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szCs w:val="22"/>
                <w:lang w:eastAsia="ru-RU"/>
              </w:rPr>
              <w:t>полевые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камеральные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76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всего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4.1</w:t>
            </w:r>
            <w:r>
              <w:rPr>
                <w:bCs/>
                <w:iCs/>
                <w:sz w:val="28"/>
                <w:szCs w:val="28"/>
              </w:rPr>
              <w:t xml:space="preserve"> Ознакомление с организацией ремонтных работ в хозяйстве автоматики и телемеханики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Тема 4.2 Электромонтажные операции с проводами и кабелями. Пайка. Лужение.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6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4.3 </w:t>
            </w:r>
            <w:r>
              <w:rPr>
                <w:rFonts w:eastAsia="Calibri"/>
                <w:bCs/>
                <w:iCs/>
                <w:sz w:val="28"/>
                <w:szCs w:val="28"/>
                <w:lang w:eastAsia="ru-RU"/>
              </w:rPr>
              <w:t>Работа со стрелочными электроприводами, гарнитурами и контрольными замками.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4.4 </w:t>
            </w:r>
            <w:r>
              <w:rPr>
                <w:bCs/>
                <w:iCs/>
                <w:sz w:val="28"/>
                <w:szCs w:val="28"/>
              </w:rPr>
              <w:t>Сборка электрических цепей по монтажным схемам. Проверка работы выполненной схемы.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12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4.5</w:t>
            </w:r>
            <w:r>
              <w:rPr>
                <w:bCs/>
                <w:iCs/>
                <w:sz w:val="28"/>
                <w:szCs w:val="28"/>
              </w:rPr>
              <w:t>«Прозвонка» цепей для обнаружения и устранения неисправностей.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b/>
                <w:bCs/>
                <w:i/>
                <w:i/>
                <w:szCs w:val="22"/>
                <w:lang w:eastAsia="ru-RU"/>
              </w:rPr>
            </w:pPr>
            <w:r>
              <w:rPr>
                <w:b/>
                <w:bCs/>
                <w:i/>
                <w:szCs w:val="22"/>
                <w:lang w:eastAsia="ru-RU"/>
              </w:rPr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right"/>
              <w:rPr>
                <w:lang w:eastAsia="ru-RU"/>
              </w:rPr>
            </w:pPr>
            <w:r>
              <w:rPr>
                <w:lang w:eastAsia="ru-RU"/>
              </w:rPr>
              <w:t>Всего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bCs/>
                <w:szCs w:val="22"/>
                <w:lang w:eastAsia="ru-RU"/>
              </w:rPr>
            </w:pPr>
            <w:r>
              <w:rPr>
                <w:bCs/>
                <w:szCs w:val="22"/>
                <w:lang w:eastAsia="ru-RU"/>
              </w:rPr>
              <w:t>36</w:t>
            </w:r>
          </w:p>
        </w:tc>
      </w:tr>
    </w:tbl>
    <w:p>
      <w:pPr>
        <w:pStyle w:val="Normal"/>
        <w:suppressAutoHyphens w:val="true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</w:p>
    <w:p>
      <w:pPr>
        <w:sectPr>
          <w:type w:val="nextPage"/>
          <w:pgSz w:w="11906" w:h="16838"/>
          <w:pgMar w:left="709" w:right="709" w:gutter="0" w:header="0" w:top="81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  <w:t>3. МАТЕРИАЛЬНО-ТЕХНИЧЕСКОЕ ОБЕСПЕЧЕНИЕ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  <w:t>УЧЕБНОЙ ПРАКТИКИ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</w:r>
    </w:p>
    <w:p>
      <w:pPr>
        <w:pStyle w:val="Normal"/>
        <w:ind w:firstLine="709" w:left="284" w:right="0"/>
        <w:jc w:val="both"/>
        <w:rPr/>
      </w:pPr>
      <w:r>
        <w:rPr>
          <w:sz w:val="28"/>
          <w:szCs w:val="28"/>
        </w:rPr>
        <w:t xml:space="preserve">Реализация рабочей программы учебной практики предполагает наличие </w:t>
      </w:r>
      <w:r>
        <w:rPr>
          <w:color w:val="000000"/>
          <w:sz w:val="28"/>
          <w:szCs w:val="28"/>
        </w:rPr>
        <w:t>учебного кабинета «Охрана труда»; монтажа устройств систем сигнализации, централизации и блокировки (СЦБ) и железнодорожной автоматики и телемеханики (ЖАТ), полигона по техническом обслуживанию устройств железнодорожной автоматики.</w:t>
      </w:r>
    </w:p>
    <w:p>
      <w:pPr>
        <w:pStyle w:val="Normal"/>
        <w:suppressAutoHyphens w:val="true"/>
        <w:autoSpaceDE w:val="false"/>
        <w:ind w:firstLine="709" w:left="284" w:right="0"/>
        <w:jc w:val="both"/>
        <w:rPr/>
      </w:pPr>
      <w:r>
        <w:rPr>
          <w:color w:val="000000"/>
          <w:sz w:val="28"/>
          <w:szCs w:val="28"/>
        </w:rPr>
        <w:t xml:space="preserve">Оборудование учебного кабинета «Охрана труда» и его рабочих мест: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электрозащитные средства до и выше 1000 В;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средства индивидуальной защиты;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знаки и плакаты по электробезопасности;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комплект учебно-методической документации;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наглядные пособия (плакаты по электробезопасности и средствам защиты от поражения электрическим током);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тренажер-манекен для проведения реанимационных мероприятий.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Технические средства обучения: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компьютеры;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лицензионное программное обеспечение, позволяющее просматривать видеофильмы и презентации по обеспечению безопасных условий работы в электроустановках;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мультимедийное оборудование;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/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проекционный экран;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оргтехника;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телевизор. 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Оборудование </w:t>
      </w:r>
      <w:r>
        <w:rPr>
          <w:color w:val="000000"/>
          <w:sz w:val="28"/>
          <w:szCs w:val="28"/>
        </w:rPr>
        <w:t>мастерской по монтажу устройств СЦБ и ее рабочих мест</w:t>
      </w:r>
      <w:r>
        <w:rPr>
          <w:sz w:val="28"/>
          <w:szCs w:val="28"/>
        </w:rPr>
        <w:t xml:space="preserve"> и ее рабочих мест: </w:t>
      </w:r>
    </w:p>
    <w:p>
      <w:pPr>
        <w:pStyle w:val="Normal"/>
        <w:widowControl w:val="false"/>
        <w:numPr>
          <w:ilvl w:val="0"/>
          <w:numId w:val="3"/>
        </w:numPr>
        <w:shd w:fill="FFFFFF" w:val="clear"/>
        <w:tabs>
          <w:tab w:val="clear" w:pos="708"/>
          <w:tab w:val="left" w:pos="211" w:leader="none"/>
        </w:tabs>
        <w:autoSpaceDE w:val="false"/>
        <w:ind w:firstLine="709" w:left="284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рабочие места, оснащенные для выполнения монтажных работ;</w:t>
      </w:r>
    </w:p>
    <w:p>
      <w:pPr>
        <w:pStyle w:val="Normal"/>
        <w:widowControl w:val="false"/>
        <w:numPr>
          <w:ilvl w:val="0"/>
          <w:numId w:val="3"/>
        </w:numPr>
        <w:shd w:fill="FFFFFF" w:val="clear"/>
        <w:tabs>
          <w:tab w:val="clear" w:pos="708"/>
          <w:tab w:val="left" w:pos="211" w:leader="none"/>
        </w:tabs>
        <w:autoSpaceDE w:val="false"/>
        <w:ind w:firstLine="709" w:left="284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инструмент, оборудование и материалы для выполнения монтажных работ;</w:t>
      </w:r>
    </w:p>
    <w:p>
      <w:pPr>
        <w:pStyle w:val="Normal"/>
        <w:widowControl w:val="false"/>
        <w:numPr>
          <w:ilvl w:val="0"/>
          <w:numId w:val="3"/>
        </w:numPr>
        <w:shd w:fill="FFFFFF" w:val="clear"/>
        <w:tabs>
          <w:tab w:val="clear" w:pos="708"/>
          <w:tab w:val="left" w:pos="211" w:leader="none"/>
        </w:tabs>
        <w:autoSpaceDE w:val="false"/>
        <w:ind w:firstLine="709" w:left="284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учебно-методическая литература;</w:t>
      </w:r>
    </w:p>
    <w:p>
      <w:pPr>
        <w:pStyle w:val="Normal"/>
        <w:widowControl w:val="false"/>
        <w:numPr>
          <w:ilvl w:val="0"/>
          <w:numId w:val="3"/>
        </w:numPr>
        <w:shd w:fill="FFFFFF" w:val="clear"/>
        <w:tabs>
          <w:tab w:val="clear" w:pos="708"/>
          <w:tab w:val="left" w:pos="211" w:leader="none"/>
        </w:tabs>
        <w:autoSpaceDE w:val="false"/>
        <w:ind w:firstLine="709" w:left="284" w:right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наглядные пособия.</w:t>
      </w:r>
    </w:p>
    <w:p>
      <w:pPr>
        <w:pStyle w:val="Normal"/>
        <w:suppressAutoHyphens w:val="true"/>
        <w:autoSpaceDE w:val="false"/>
        <w:ind w:firstLine="709" w:left="284" w:right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Оборудование </w:t>
      </w:r>
      <w:r>
        <w:rPr>
          <w:color w:val="000000"/>
          <w:sz w:val="28"/>
          <w:szCs w:val="28"/>
        </w:rPr>
        <w:t>полигона по техническому обслуживанию устройств железнодорожной автоматики</w:t>
      </w:r>
      <w:r>
        <w:rPr>
          <w:sz w:val="28"/>
          <w:szCs w:val="28"/>
        </w:rPr>
        <w:t xml:space="preserve"> и его рабочих мест: 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autoSpaceDE w:val="false"/>
        <w:spacing w:before="19" w:after="0"/>
        <w:ind w:firstLine="709" w:left="284" w:right="0"/>
        <w:rPr>
          <w:color w:val="000000"/>
          <w:spacing w:val="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макеты устройств систем СЦБ и ЖАТ;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autoSpaceDE w:val="false"/>
        <w:spacing w:lineRule="exact" w:line="322" w:before="19" w:after="0"/>
        <w:ind w:firstLine="709" w:left="284" w:right="0"/>
        <w:rPr>
          <w:color w:val="000000"/>
          <w:spacing w:val="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измерительные приборы и инструмент, необходимые для выполнения ра</w:t>
        <w:softHyphen/>
      </w:r>
      <w:r>
        <w:rPr>
          <w:color w:val="000000"/>
          <w:spacing w:val="9"/>
          <w:sz w:val="28"/>
          <w:szCs w:val="28"/>
        </w:rPr>
        <w:t xml:space="preserve">бот по техническому обслуживанию и 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autoSpaceDE w:val="false"/>
        <w:spacing w:lineRule="exact" w:line="322" w:before="19" w:after="0"/>
        <w:ind w:firstLine="709" w:left="284" w:right="0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ремонту устройств систем СЦБ и </w:t>
      </w:r>
      <w:r>
        <w:rPr>
          <w:color w:val="000000"/>
          <w:spacing w:val="-5"/>
          <w:sz w:val="28"/>
          <w:szCs w:val="28"/>
        </w:rPr>
        <w:t>ЖАТ;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autoSpaceDE w:val="false"/>
        <w:spacing w:before="19" w:after="0"/>
        <w:ind w:firstLine="709" w:left="284" w:right="0"/>
        <w:rPr>
          <w:sz w:val="28"/>
          <w:szCs w:val="28"/>
        </w:rPr>
      </w:pPr>
      <w:r>
        <w:rPr>
          <w:color w:val="000000"/>
          <w:sz w:val="28"/>
          <w:szCs w:val="28"/>
        </w:rPr>
        <w:t>индивидуальные средства защиты, сигнальные жилеты.</w:t>
      </w:r>
    </w:p>
    <w:p>
      <w:pPr>
        <w:pStyle w:val="Normal"/>
        <w:suppressAutoHyphens w:val="true"/>
        <w:autoSpaceDE w:val="false"/>
        <w:spacing w:lineRule="auto" w:line="360"/>
        <w:ind w:firstLine="709" w:left="284" w:right="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/>
      </w:pPr>
      <w:r>
        <w:rPr>
          <w:b/>
          <w:iCs/>
          <w:sz w:val="28"/>
          <w:lang w:eastAsia="ru-RU"/>
        </w:rPr>
        <w:t>4. ОБЩИЕ ТРЕБОВАНИЯ К ОРГАНИЗАЦИИ УЧЕБНОЙ ПРАКТИКИ</w:t>
      </w:r>
    </w:p>
    <w:p>
      <w:pPr>
        <w:pStyle w:val="Normal"/>
        <w:ind w:firstLine="709" w:right="0"/>
        <w:jc w:val="both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autoSpaceDE w:val="false"/>
        <w:ind w:firstLine="709" w:left="284" w:right="0"/>
        <w:jc w:val="both"/>
        <w:rPr>
          <w:rFonts w:eastAsia="SimSun;宋体"/>
          <w:spacing w:val="-1"/>
          <w:sz w:val="28"/>
          <w:szCs w:val="28"/>
        </w:rPr>
      </w:pPr>
      <w:r>
        <w:rPr>
          <w:bCs/>
          <w:sz w:val="28"/>
          <w:szCs w:val="28"/>
          <w:lang w:eastAsia="ru-RU"/>
        </w:rPr>
        <w:t>Реализация учебной практики проводится концентрированно,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после изучения МДК в рамках профессионального модуля ПМ.04 </w:t>
      </w:r>
      <w:r>
        <w:rPr>
          <w:sz w:val="28"/>
          <w:szCs w:val="28"/>
          <w:lang w:eastAsia="en-US"/>
        </w:rPr>
        <w:t>Освоение одной или нескольких профессий рабочих, должностей служащих (электромонтер по обслуживанию и ремонту устройств СЦБ).</w:t>
      </w:r>
    </w:p>
    <w:p>
      <w:pPr>
        <w:pStyle w:val="Normal"/>
        <w:ind w:firstLine="709" w:left="284" w:right="0"/>
        <w:jc w:val="both"/>
        <w:rPr/>
      </w:pPr>
      <w:r>
        <w:rPr>
          <w:bCs/>
          <w:sz w:val="28"/>
          <w:szCs w:val="28"/>
          <w:lang w:eastAsia="ru-RU"/>
        </w:rPr>
        <w:t xml:space="preserve">Обязательным условием допуска к производственной практике является освоение </w:t>
      </w:r>
      <w:r>
        <w:rPr>
          <w:sz w:val="28"/>
          <w:szCs w:val="28"/>
          <w:lang w:eastAsia="ru-RU"/>
        </w:rPr>
        <w:t>учебных дисциплин «Общий курс железных дорог», «Экономика организации»,  МДК 03.01 Технология ремонтно-регулировочных работ устройств и приборов систем СЦБ и ЖАТ, МДК 01.01 Теоретические основы построения и эксплуатации станционных систем железнодорожной автоматики, МДК 01.02 Теоретические основы построения и эксплуатации перегонных систем железнодорожной автоматики, МДК 02.01 Основы технического обслуживания устройств систем СЦБ и ЖАТ.</w:t>
      </w:r>
    </w:p>
    <w:p>
      <w:pPr>
        <w:pStyle w:val="Normal"/>
        <w:ind w:firstLine="709" w:left="284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>
      <w:pPr>
        <w:pStyle w:val="Normal"/>
        <w:ind w:firstLine="709" w:left="284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3"/>
        <w:rPr/>
      </w:pPr>
      <w:r>
        <w:rPr>
          <w:b/>
          <w:iCs/>
          <w:sz w:val="28"/>
          <w:lang w:eastAsia="ru-RU"/>
        </w:rPr>
        <w:t>5. КАДРОВОЕ ОБЕСПЕЧЕНИЕ УЧЕБНОЙ ПРАКТИКИ</w:t>
      </w:r>
    </w:p>
    <w:p>
      <w:pPr>
        <w:pStyle w:val="Normal"/>
        <w:shd w:fill="FFFFFF" w:val="clear"/>
        <w:suppressAutoHyphens w:val="true"/>
        <w:jc w:val="both"/>
        <w:rPr>
          <w:b/>
          <w:iCs/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z w:val="28"/>
          <w:szCs w:val="28"/>
          <w:lang w:eastAsia="ru-RU"/>
        </w:rPr>
      </w:r>
    </w:p>
    <w:p>
      <w:pPr>
        <w:pStyle w:val="Normal"/>
        <w:shd w:fill="FFFFFF" w:val="clear"/>
        <w:suppressAutoHyphens w:val="true"/>
        <w:ind w:firstLine="709" w:left="567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педагогических (инженерно-педагогических) кад</w:t>
      </w:r>
      <w:r>
        <w:rPr>
          <w:color w:val="000000"/>
          <w:spacing w:val="1"/>
          <w:sz w:val="28"/>
          <w:szCs w:val="28"/>
        </w:rPr>
        <w:t>ров, обеспечивающих обучение по междисциплинарным курсам профессио</w:t>
        <w:softHyphen/>
      </w:r>
      <w:r>
        <w:rPr>
          <w:color w:val="000000"/>
          <w:spacing w:val="-1"/>
          <w:sz w:val="28"/>
          <w:szCs w:val="28"/>
        </w:rPr>
        <w:t>нального модуля: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высшее образование, соответствующее профессиональному циклу дисциплин по специальности 27.02.03 Автоматика и телемеханика на транспорте (желез</w:t>
      </w:r>
      <w:r>
        <w:rPr>
          <w:color w:val="000000"/>
          <w:spacing w:val="-1"/>
          <w:sz w:val="28"/>
          <w:szCs w:val="28"/>
        </w:rPr>
        <w:t>нодорожном транспорте);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>раза в 3 года.</w:t>
      </w:r>
    </w:p>
    <w:p>
      <w:pPr>
        <w:pStyle w:val="Normal"/>
        <w:shd w:fill="FFFFFF" w:val="clear"/>
        <w:suppressAutoHyphens w:val="true"/>
        <w:ind w:firstLine="709" w:left="567" w:right="0"/>
        <w:jc w:val="both"/>
        <w:rPr/>
      </w:pPr>
      <w:r>
        <w:rPr>
          <w:color w:val="000000"/>
          <w:spacing w:val="-1"/>
          <w:sz w:val="28"/>
          <w:szCs w:val="28"/>
        </w:rPr>
        <w:t>Требования к квалификации педагогических кадров, осуществляющих руководство учебной и производственной практикой:</w:t>
      </w:r>
    </w:p>
    <w:p>
      <w:pPr>
        <w:pStyle w:val="Normal"/>
        <w:shd w:fill="FFFFFF" w:val="clear"/>
        <w:suppressAutoHyphens w:val="true"/>
        <w:ind w:firstLine="709" w:left="567" w:right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Инженерно-педагогический состав: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высшее образование, соответствующее профилю специальности;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>раза в 3 года.</w:t>
      </w:r>
    </w:p>
    <w:p>
      <w:pPr>
        <w:pStyle w:val="Normal"/>
        <w:shd w:fill="FFFFFF" w:val="clear"/>
        <w:suppressAutoHyphens w:val="true"/>
        <w:ind w:firstLine="709" w:left="567" w:righ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Мастера: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среднее профессиональное образование;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наличие квалификационного разряда не ниже 5-го;</w:t>
      </w:r>
    </w:p>
    <w:p>
      <w:pPr>
        <w:pStyle w:val="Normal"/>
        <w:widowControl w:val="false"/>
        <w:numPr>
          <w:ilvl w:val="0"/>
          <w:numId w:val="2"/>
        </w:numPr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ind w:firstLine="709" w:left="567" w:right="0"/>
        <w:jc w:val="both"/>
        <w:rPr>
          <w:b/>
        </w:rPr>
      </w:pPr>
      <w:r>
        <w:rPr>
          <w:color w:val="000000"/>
          <w:spacing w:val="1"/>
          <w:sz w:val="28"/>
          <w:szCs w:val="28"/>
        </w:rPr>
        <w:t>опыт деятельности в организациях соответствующей профессиональной сфе</w:t>
      </w:r>
      <w:r>
        <w:rPr>
          <w:color w:val="000000"/>
          <w:spacing w:val="6"/>
          <w:sz w:val="28"/>
          <w:szCs w:val="28"/>
        </w:rPr>
        <w:t xml:space="preserve">ры — прохождение стажировки в профильных организациях не реже одного </w:t>
      </w:r>
      <w:r>
        <w:rPr>
          <w:color w:val="000000"/>
          <w:spacing w:val="-1"/>
          <w:sz w:val="28"/>
          <w:szCs w:val="28"/>
        </w:rPr>
        <w:t xml:space="preserve">раза в 3 года. </w:t>
      </w:r>
    </w:p>
    <w:p>
      <w:pPr>
        <w:sectPr>
          <w:type w:val="nextPage"/>
          <w:pgSz w:w="11906" w:h="16838"/>
          <w:pgMar w:left="709" w:right="709" w:gutter="0" w:header="0" w:top="1134" w:footer="0" w:bottom="816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709" w:left="567" w:right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ind w:left="567" w:right="0"/>
        <w:jc w:val="center"/>
        <w:outlineLvl w:val="3"/>
        <w:rPr>
          <w:b/>
          <w:iCs/>
          <w:sz w:val="28"/>
          <w:lang w:eastAsia="ru-RU"/>
        </w:rPr>
      </w:pPr>
      <w:bookmarkStart w:id="4" w:name="_Hlk149930708"/>
      <w:bookmarkEnd w:id="4"/>
      <w:r>
        <w:rPr>
          <w:b/>
          <w:iCs/>
          <w:sz w:val="28"/>
          <w:lang w:eastAsia="ru-RU"/>
        </w:rPr>
        <w:t xml:space="preserve">6. </w:t>
      </w:r>
      <w:bookmarkStart w:id="5" w:name="_Hlk149930236"/>
      <w:r>
        <w:rPr>
          <w:b/>
          <w:iCs/>
          <w:sz w:val="28"/>
          <w:lang w:eastAsia="ru-RU"/>
        </w:rPr>
        <w:t>КОНТРОЛЬ И ОЦЕНКА ОСВОЕНИЯ РЕЗУЛЬТАТОВ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  <w:t>УЧЕБНОЙ ПРАКТИКИ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iCs/>
          <w:sz w:val="28"/>
          <w:lang w:eastAsia="ru-RU"/>
        </w:rPr>
      </w:pPr>
      <w:r>
        <w:rPr>
          <w:b/>
          <w:iCs/>
          <w:sz w:val="28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ind w:firstLine="567" w:left="709" w:right="0"/>
        <w:jc w:val="both"/>
        <w:outlineLvl w:val="3"/>
        <w:rPr/>
      </w:pPr>
      <w:r>
        <w:rPr>
          <w:bCs/>
          <w:iCs/>
          <w:sz w:val="28"/>
          <w:lang w:eastAsia="ru-RU"/>
        </w:rPr>
        <w:t>Формы и методы контроля и оценки результатов обучения должны позволять проверять у обучающихся не только частичную сформированность профессиональных компетенций, но и развитие общих компетенций обеспечивающих их умений.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3"/>
        <w:rPr>
          <w:b/>
          <w:bCs/>
          <w:iCs/>
          <w:sz w:val="28"/>
          <w:lang w:eastAsia="ru-RU"/>
        </w:rPr>
      </w:pPr>
      <w:r>
        <w:rPr>
          <w:b/>
          <w:bCs/>
          <w:iCs/>
          <w:sz w:val="28"/>
          <w:lang w:eastAsia="ru-RU"/>
        </w:rPr>
      </w:r>
    </w:p>
    <w:tbl>
      <w:tblPr>
        <w:tblW w:w="9781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922"/>
        <w:gridCol w:w="188"/>
        <w:gridCol w:w="2375"/>
        <w:gridCol w:w="177"/>
      </w:tblGrid>
      <w:tr>
        <w:trPr>
          <w:trHeight w:val="78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Результаты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(освоенные общие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компетенции)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Основные показатели оценки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результата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Формы и методы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 xml:space="preserve">контроля и оценки 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iCs/>
                <w:sz w:val="28"/>
                <w:lang w:eastAsia="ru-RU"/>
              </w:rPr>
            </w:pPr>
            <w:r>
              <w:rPr>
                <w:b/>
                <w:iCs/>
                <w:sz w:val="28"/>
                <w:lang w:eastAsia="ru-RU"/>
              </w:rPr>
              <w:t>3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Демонстрация распознавания задачи или проблемы в профессиональном или социальном контексте; анализа задачи или проблемы и выделения её составных частей; определения этапов решения задач.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Экспертное наблюдение и оценка при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ОК 02. Использовать современные средства поиска, анализа и интерпретации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 </w:t>
            </w:r>
            <w:r>
              <w:rPr>
                <w:bCs/>
                <w:iCs/>
                <w:lang w:eastAsia="ru-RU"/>
              </w:rPr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Оценивание эффективности 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качества выполнения профессиональных задач.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Обоснование выбора и возможности применения методов и способов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решения профессиональных задач в области содержания устройств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 </w:t>
            </w:r>
            <w:r>
              <w:rPr>
                <w:bCs/>
                <w:iCs/>
                <w:lang w:eastAsia="ru-RU"/>
              </w:rPr>
              <w:t>СЦБ и ЖАТ.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Структурирование получаемой информации; выделение наиболее значимой в перечне информации; оценивание практической значимости результатов поиска; оформление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результатов поиска.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Демонстрация навыков организации работы коллектива и команды; взаимодействия с коллегами, руководством, клиентами в ходе профессиональной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деятельности.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iCs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Демонстрация использования профессиональной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документацией на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государственном и иностранном языках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Экспертное наблюдение и оценка при выполнении работ по учебной практике.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Промежуточная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аттестация в форме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дифференцированного зачета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Результаты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Основные показатели оценки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результата</w:t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Формы и методы контроля и оценки</w:t>
            </w:r>
          </w:p>
        </w:tc>
        <w:tc>
          <w:tcPr>
            <w:tcW w:w="17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i/>
                <w:i/>
                <w:iCs/>
                <w:sz w:val="28"/>
                <w:lang w:eastAsia="ru-RU"/>
              </w:rPr>
            </w:pPr>
            <w:r>
              <w:rPr>
                <w:b/>
                <w:i/>
                <w:iCs/>
                <w:sz w:val="28"/>
                <w:lang w:eastAsia="ru-RU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ПК 4.1. Выполнять работы по профессии «Электромонтер по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обслуживанию и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ремонту устройств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/>
            </w:pPr>
            <w:r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сигнализации,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централизации и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блокировки»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Демонстрация навыков выполнения работы по профессии «Электромонтер по обслуживанию и ремонту устройств сигнализации,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централизации и блокировки»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3"/>
              <w:rPr>
                <w:bCs/>
                <w:lang w:eastAsia="ru-RU"/>
              </w:rPr>
            </w:pPr>
            <w:r>
              <w:rPr/>
              <w:t>Экспертное наблюдение и оценка при выполнении работ по учебной практике. Промежуточная аттестация в форме дифференцированного зачета</w:t>
            </w:r>
          </w:p>
        </w:tc>
        <w:tc>
          <w:tcPr>
            <w:tcW w:w="17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Cs/>
                <w:i/>
                <w:i/>
                <w:iCs/>
                <w:sz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lang w:eastAsia="ru-RU"/>
              </w:rPr>
            </w:r>
          </w:p>
        </w:tc>
      </w:tr>
    </w:tbl>
    <w:p>
      <w:pPr>
        <w:pStyle w:val="Normal"/>
        <w:rPr/>
      </w:pPr>
      <w:r>
        <w:rPr/>
      </w:r>
      <w:bookmarkStart w:id="6" w:name="_Hlk149930708"/>
      <w:bookmarkStart w:id="7" w:name="_Hlk149930708"/>
      <w:bookmarkEnd w:id="7"/>
      <w:bookmarkEnd w:id="5"/>
    </w:p>
    <w:sectPr>
      <w:type w:val="nextPage"/>
      <w:pgSz w:w="11906" w:h="16838"/>
      <w:pgMar w:left="709" w:right="709" w:gutter="0" w:header="0" w:top="1134" w:footer="0" w:bottom="81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numFmt w:val="bullet"/>
      <w:lvlText w:val="-"/>
      <w:lvlJc w:val="left"/>
      <w:pPr>
        <w:tabs>
          <w:tab w:val="num" w:pos="221"/>
        </w:tabs>
        <w:ind w:left="0" w:hanging="0"/>
      </w:pPr>
      <w:rPr>
        <w:rFonts w:ascii="Times New Roman" w:hAnsi="Times New Roman" w:cs="Times New Roman" w:hint="default"/>
      </w:rPr>
    </w:lvl>
  </w:abstractNum>
  <w:abstractNum w:abstractNumId="3">
    <w:lvl w:ilvl="0">
      <w:numFmt w:val="bullet"/>
      <w:lvlText w:val="-"/>
      <w:lvlJc w:val="left"/>
      <w:pPr>
        <w:tabs>
          <w:tab w:val="num" w:pos="211"/>
        </w:tabs>
        <w:ind w:left="0" w:hanging="0"/>
      </w:pPr>
      <w:rPr>
        <w:rFonts w:ascii="Times New Roman" w:hAnsi="Times New Roman" w:cs="Times New Roman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Zero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1"/>
    <w:next w:val="Normal1"/>
    <w:qFormat/>
    <w:pPr>
      <w:numPr>
        <w:ilvl w:val="0"/>
        <w:numId w:val="1"/>
      </w:numPr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3z0">
    <w:name w:val="WW8Num3z0"/>
    <w:qFormat/>
    <w:rPr>
      <w:b/>
      <w:sz w:val="28"/>
      <w:szCs w:val="28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b w:val="false"/>
      <w:i w:val="false"/>
    </w:rPr>
  </w:style>
  <w:style w:type="character" w:styleId="WW8Num8z0">
    <w:name w:val="WW8Num8z0"/>
    <w:qFormat/>
    <w:rPr>
      <w:rFonts w:ascii="Times New Roman" w:hAnsi="Times New Roman" w:cs="Symbol"/>
    </w:rPr>
  </w:style>
  <w:style w:type="character" w:styleId="WW8Num9z0">
    <w:name w:val="WW8Num9z0"/>
    <w:qFormat/>
    <w:rPr>
      <w:rFonts w:ascii="Symbol" w:hAnsi="Symbol"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4z0">
    <w:name w:val="WW8Num14z0"/>
    <w:qFormat/>
    <w:rPr>
      <w:rFonts w:ascii="Times New Roman" w:hAnsi="Times New Roman" w:cs="Symbol"/>
    </w:rPr>
  </w:style>
  <w:style w:type="character" w:styleId="WW8Num15z0">
    <w:name w:val="WW8Num15z0"/>
    <w:qFormat/>
    <w:rPr>
      <w:rFonts w:ascii="Times New Roman" w:hAnsi="Times New Roman" w:cs="Symbol"/>
    </w:rPr>
  </w:style>
  <w:style w:type="character" w:styleId="WW8Num18z0">
    <w:name w:val="WW8Num18z0"/>
    <w:qFormat/>
    <w:rPr/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cs="Times New Roman"/>
    </w:rPr>
  </w:style>
  <w:style w:type="character" w:styleId="WW8Num22z0">
    <w:name w:val="WW8Num22z0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cs="Times New Roman"/>
    </w:rPr>
  </w:style>
  <w:style w:type="character" w:styleId="WW8Num24z0">
    <w:name w:val="WW8Num24z0"/>
    <w:qFormat/>
    <w:rPr>
      <w:rFonts w:cs="Times New Roman"/>
    </w:rPr>
  </w:style>
  <w:style w:type="character" w:styleId="WW8Num25z0">
    <w:name w:val="WW8Num25z0"/>
    <w:qFormat/>
    <w:rPr/>
  </w:style>
  <w:style w:type="character" w:styleId="WW8Num26z1">
    <w:name w:val="WW8Num26z1"/>
    <w:qFormat/>
    <w:rPr/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St15z0">
    <w:name w:val="WW8NumSt15z0"/>
    <w:qFormat/>
    <w:rPr>
      <w:rFonts w:ascii="Times New Roman" w:hAnsi="Times New Roman" w:cs="Times New Roman"/>
    </w:rPr>
  </w:style>
  <w:style w:type="character" w:styleId="Style9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8Num9z2">
    <w:name w:val="WW8Num9z2"/>
    <w:qFormat/>
    <w:rPr>
      <w:rFonts w:ascii="Wingdings" w:hAnsi="Wingdings" w:cs="Wingdings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4">
    <w:name w:val="WW8Num13z4"/>
    <w:qFormat/>
    <w:rPr>
      <w:rFonts w:ascii="Courier New" w:hAnsi="Courier New" w:cs="Courier Ne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St30z0">
    <w:name w:val="WW8NumSt30z0"/>
    <w:qFormat/>
    <w:rPr>
      <w:rFonts w:ascii="Times New Roman" w:hAnsi="Times New Roman" w:cs="Times New Roman"/>
    </w:rPr>
  </w:style>
  <w:style w:type="character" w:styleId="WW8NumSt31z0">
    <w:name w:val="WW8NumSt31z0"/>
    <w:qFormat/>
    <w:rPr>
      <w:rFonts w:ascii="Times New Roman" w:hAnsi="Times New Roman" w:cs="Times New Roman"/>
    </w:rPr>
  </w:style>
  <w:style w:type="character" w:styleId="WW8NumSt32z0">
    <w:name w:val="WW8NumSt32z0"/>
    <w:qFormat/>
    <w:rPr>
      <w:rFonts w:ascii="Times New Roman" w:hAnsi="Times New Roman" w:cs="Times New Roman"/>
    </w:rPr>
  </w:style>
  <w:style w:type="character" w:styleId="2">
    <w:name w:val="Основной шрифт абзаца2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St4z0">
    <w:name w:val="WW8NumSt4z0"/>
    <w:qFormat/>
    <w:rPr>
      <w:rFonts w:ascii="Times New Roman" w:hAnsi="Times New Roman" w:cs="Times New Roman"/>
    </w:rPr>
  </w:style>
  <w:style w:type="character" w:styleId="WW8NumSt5z0">
    <w:name w:val="WW8NumSt5z0"/>
    <w:qFormat/>
    <w:rPr>
      <w:rFonts w:ascii="Times New Roman" w:hAnsi="Times New Roman" w:cs="Times New Roman"/>
    </w:rPr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WW8NumSt14z0">
    <w:name w:val="WW8NumSt14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4">
    <w:name w:val=" Знак4"/>
    <w:qFormat/>
    <w:rPr>
      <w:sz w:val="24"/>
      <w:szCs w:val="24"/>
    </w:rPr>
  </w:style>
  <w:style w:type="character" w:styleId="3">
    <w:name w:val=" Знак3"/>
    <w:qFormat/>
    <w:rPr>
      <w:sz w:val="24"/>
      <w:szCs w:val="24"/>
    </w:rPr>
  </w:style>
  <w:style w:type="character" w:styleId="21">
    <w:name w:val=" Знак2"/>
    <w:qFormat/>
    <w:rPr>
      <w:sz w:val="24"/>
      <w:szCs w:val="24"/>
    </w:rPr>
  </w:style>
  <w:style w:type="character" w:styleId="11">
    <w:name w:val=" Знак1"/>
    <w:qFormat/>
    <w:rPr>
      <w:rFonts w:eastAsia="Calibri"/>
      <w:sz w:val="24"/>
      <w:szCs w:val="24"/>
    </w:rPr>
  </w:style>
  <w:style w:type="character" w:styleId="Style10">
    <w:name w:val=" Знак"/>
    <w:qFormat/>
    <w:rPr>
      <w:rFonts w:eastAsia="Calibri"/>
      <w:sz w:val="24"/>
      <w:szCs w:val="24"/>
    </w:rPr>
  </w:style>
  <w:style w:type="character" w:styleId="Style11">
    <w:name w:val="Без интервала Знак"/>
    <w:qFormat/>
    <w:rPr>
      <w:rFonts w:ascii="Calibri" w:hAnsi="Calibri" w:eastAsia="Calibri" w:cs="Calibri"/>
      <w:sz w:val="22"/>
      <w:szCs w:val="22"/>
      <w:lang w:val="ru-RU" w:bidi="ar-SA"/>
    </w:rPr>
  </w:style>
  <w:style w:type="character" w:styleId="12">
    <w:name w:val="Стиль1 Знак"/>
    <w:basedOn w:val="Style11"/>
    <w:qFormat/>
    <w:rPr/>
  </w:style>
  <w:style w:type="character" w:styleId="Style12">
    <w:name w:val="Основной текст Знак"/>
    <w:qFormat/>
    <w:rPr>
      <w:sz w:val="24"/>
      <w:szCs w:val="24"/>
      <w:lang w:val="ru-RU" w:eastAsia="zh-CN" w:bidi="ar-SA"/>
    </w:rPr>
  </w:style>
  <w:style w:type="character" w:styleId="Hyperlink">
    <w:name w:val="Hyperlink"/>
    <w:rPr>
      <w:color w:val="0000FF"/>
      <w:u w:val="single"/>
    </w:rPr>
  </w:style>
  <w:style w:type="character" w:styleId="5">
    <w:name w:val="Заголовок 5 Знак"/>
    <w:qFormat/>
    <w:rPr>
      <w:b/>
      <w:bCs/>
      <w:i/>
      <w:iCs/>
      <w:sz w:val="26"/>
      <w:szCs w:val="26"/>
      <w:lang w:val="ru-RU" w:eastAsia="zh-CN" w:bidi="ar-SA"/>
    </w:rPr>
  </w:style>
  <w:style w:type="character" w:styleId="22">
    <w:name w:val="Заголовок 2 Знак"/>
    <w:qFormat/>
    <w:rPr>
      <w:rFonts w:ascii="Arial" w:hAnsi="Arial" w:cs="Arial"/>
      <w:b/>
      <w:bCs/>
      <w:i/>
      <w:iCs/>
      <w:sz w:val="28"/>
      <w:szCs w:val="28"/>
      <w:lang w:val="ru-RU" w:eastAsia="zh-CN" w:bidi="ar-SA"/>
    </w:rPr>
  </w:style>
  <w:style w:type="character" w:styleId="13">
    <w:name w:val="Абзац списка Знак1"/>
    <w:qFormat/>
    <w:rPr>
      <w:rFonts w:ascii="Calibri" w:hAnsi="Calibri" w:eastAsia="Calibri" w:cs="Calibri"/>
      <w:sz w:val="22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PageNumber">
    <w:name w:val="Page Number"/>
    <w:basedOn w:val="Style9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ormal1">
    <w:name w:val="Normal1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</w:rPr>
  </w:style>
  <w:style w:type="paragraph" w:styleId="211">
    <w:name w:val="Список 21"/>
    <w:basedOn w:val="Normal1"/>
    <w:next w:val="Normal1"/>
    <w:qFormat/>
    <w:pPr/>
    <w:rPr>
      <w:color w:val="00000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2">
    <w:name w:val="Основной текст с отступом 21"/>
    <w:basedOn w:val="Normal1"/>
    <w:next w:val="Normal1"/>
    <w:qFormat/>
    <w:pPr/>
    <w:rPr>
      <w:rFonts w:eastAsia="Calibri"/>
      <w:color w:val="000000"/>
    </w:rPr>
  </w:style>
  <w:style w:type="paragraph" w:styleId="213">
    <w:name w:val="Основной текст 21"/>
    <w:basedOn w:val="Normal1"/>
    <w:next w:val="Normal1"/>
    <w:qFormat/>
    <w:pPr/>
    <w:rPr>
      <w:rFonts w:eastAsia="Calibri"/>
      <w:color w:val="000000"/>
    </w:rPr>
  </w:style>
  <w:style w:type="paragraph" w:styleId="consplusnormal">
    <w:name w:val="consplusnormal"/>
    <w:basedOn w:val="Normal"/>
    <w:qFormat/>
    <w:pPr>
      <w:spacing w:before="280" w:after="280"/>
    </w:pPr>
    <w:rPr/>
  </w:style>
  <w:style w:type="paragraph" w:styleId="Style14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16">
    <w:name w:val="Стиль1"/>
    <w:basedOn w:val="Style14"/>
    <w:qFormat/>
    <w:pPr>
      <w:spacing w:lineRule="auto" w:line="360"/>
      <w:ind w:firstLine="567" w:left="0" w:right="0"/>
      <w:jc w:val="both"/>
    </w:pPr>
    <w:rPr>
      <w:rFonts w:ascii="Times New Roman" w:hAnsi="Times New Roman" w:cs="Times New Roman"/>
    </w:rPr>
  </w:style>
  <w:style w:type="paragraph" w:styleId="Style15">
    <w:name w:val="Содержимое таблицы"/>
    <w:basedOn w:val="Normal"/>
    <w:qFormat/>
    <w:pPr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31">
    <w:name w:val="Список 31"/>
    <w:basedOn w:val="Normal"/>
    <w:next w:val="Normal"/>
    <w:qFormat/>
    <w:pPr>
      <w:autoSpaceDE w:val="false"/>
    </w:pPr>
    <w:rPr/>
  </w:style>
  <w:style w:type="paragraph" w:styleId="WW-Normal">
    <w:name w:val="WW-Normal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FR1">
    <w:name w:val="FR1"/>
    <w:qFormat/>
    <w:pPr>
      <w:widowControl w:val="false"/>
      <w:bidi w:val="0"/>
      <w:spacing w:lineRule="auto" w:line="319" w:before="340" w:after="0"/>
      <w:jc w:val="both"/>
    </w:pPr>
    <w:rPr>
      <w:rFonts w:ascii="Times New Roman" w:hAnsi="Times New Roman" w:eastAsia="Times New Roman" w:cs="Times New Roman"/>
      <w:color w:val="auto"/>
      <w:sz w:val="36"/>
      <w:szCs w:val="20"/>
      <w:lang w:val="ru-RU" w:bidi="ar-SA" w:eastAsia="zh-CN"/>
    </w:rPr>
  </w:style>
  <w:style w:type="paragraph" w:styleId="24">
    <w:name w:val="Основной текст 2"/>
    <w:basedOn w:val="Normal"/>
    <w:qFormat/>
    <w:pPr>
      <w:spacing w:lineRule="auto" w:line="480" w:before="0" w:after="120"/>
    </w:pPr>
    <w:rPr>
      <w:sz w:val="20"/>
      <w:szCs w:val="20"/>
    </w:rPr>
  </w:style>
  <w:style w:type="paragraph" w:styleId="Style17">
    <w:name w:val="Название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 w:val="40"/>
      <w:szCs w:val="20"/>
    </w:rPr>
  </w:style>
  <w:style w:type="paragraph" w:styleId="TOC1">
    <w:name w:val="TOC 1"/>
    <w:basedOn w:val="Normal"/>
    <w:next w:val="Normal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pPr>
      <w:spacing w:before="120" w:after="0"/>
      <w:ind w:hanging="0" w:left="240" w:right="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pPr>
      <w:ind w:hanging="0" w:left="480" w:right="0"/>
    </w:pPr>
    <w:rPr>
      <w:sz w:val="20"/>
      <w:szCs w:val="20"/>
    </w:rPr>
  </w:style>
  <w:style w:type="paragraph" w:styleId="TOC4">
    <w:name w:val="TOC 4"/>
    <w:basedOn w:val="Normal"/>
    <w:next w:val="Normal"/>
    <w:pPr>
      <w:ind w:hanging="0" w:left="720" w:right="0"/>
    </w:pPr>
    <w:rPr>
      <w:sz w:val="20"/>
      <w:szCs w:val="20"/>
    </w:rPr>
  </w:style>
  <w:style w:type="paragraph" w:styleId="TOC5">
    <w:name w:val="TOC 5"/>
    <w:basedOn w:val="Normal"/>
    <w:next w:val="Normal"/>
    <w:pPr>
      <w:ind w:hanging="0" w:left="960" w:right="0"/>
    </w:pPr>
    <w:rPr>
      <w:sz w:val="20"/>
      <w:szCs w:val="20"/>
    </w:rPr>
  </w:style>
  <w:style w:type="paragraph" w:styleId="TOC6">
    <w:name w:val="TOC 6"/>
    <w:basedOn w:val="Normal"/>
    <w:next w:val="Normal"/>
    <w:pPr>
      <w:ind w:hanging="0" w:left="1200" w:right="0"/>
    </w:pPr>
    <w:rPr>
      <w:sz w:val="20"/>
      <w:szCs w:val="20"/>
    </w:rPr>
  </w:style>
  <w:style w:type="paragraph" w:styleId="TOC7">
    <w:name w:val="TOC 7"/>
    <w:basedOn w:val="Normal"/>
    <w:next w:val="Normal"/>
    <w:pPr>
      <w:ind w:hanging="0" w:left="1440" w:right="0"/>
    </w:pPr>
    <w:rPr>
      <w:sz w:val="20"/>
      <w:szCs w:val="20"/>
    </w:rPr>
  </w:style>
  <w:style w:type="paragraph" w:styleId="TOC8">
    <w:name w:val="TOC 8"/>
    <w:basedOn w:val="Normal"/>
    <w:next w:val="Normal"/>
    <w:pPr>
      <w:ind w:hanging="0" w:left="1680" w:right="0"/>
    </w:pPr>
    <w:rPr>
      <w:sz w:val="20"/>
      <w:szCs w:val="20"/>
    </w:rPr>
  </w:style>
  <w:style w:type="paragraph" w:styleId="TOC9">
    <w:name w:val="TOC 9"/>
    <w:basedOn w:val="Normal"/>
    <w:next w:val="Normal"/>
    <w:pPr>
      <w:ind w:hanging="0" w:left="1920" w:right="0"/>
    </w:pPr>
    <w:rPr>
      <w:sz w:val="20"/>
      <w:szCs w:val="20"/>
    </w:rPr>
  </w:style>
  <w:style w:type="paragraph" w:styleId="ConsPlusNormal1">
    <w:name w:val="ConsPlusNormal1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eastAsia="SimSun;宋体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Style18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0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2025-01-28T22:34:00Z</dcterms:created>
  <dc:creator>Lastovskaya_IS</dc:creator>
  <dc:description/>
  <cp:keywords/>
  <dc:language>en-US</dc:language>
  <cp:lastModifiedBy>Student</cp:lastModifiedBy>
  <cp:lastPrinted>2022-06-24T13:51:00Z</cp:lastPrinted>
  <dcterms:modified xsi:type="dcterms:W3CDTF">2025-01-28T22:34:00Z</dcterms:modified>
  <cp:revision>3</cp:revision>
  <dc:subject/>
  <dc:title>ИНФОРМАЦИЯ</dc:title>
</cp:coreProperties>
</file>