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C92DD3">
        <w:rPr>
          <w:rFonts w:ascii="Times New Roman" w:hAnsi="Times New Roman"/>
          <w:b/>
          <w:bCs/>
          <w:sz w:val="28"/>
          <w:szCs w:val="28"/>
        </w:rPr>
        <w:t>9.4.</w:t>
      </w:r>
      <w:r w:rsidR="00687F06">
        <w:rPr>
          <w:rFonts w:ascii="Times New Roman" w:hAnsi="Times New Roman"/>
          <w:b/>
          <w:bCs/>
          <w:sz w:val="28"/>
          <w:szCs w:val="28"/>
        </w:rPr>
        <w:t>33</w:t>
      </w:r>
      <w:r w:rsidR="00C92D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942ED">
        <w:rPr>
          <w:rFonts w:ascii="Times New Roman" w:hAnsi="Times New Roman"/>
          <w:b/>
          <w:bCs/>
          <w:sz w:val="28"/>
          <w:szCs w:val="28"/>
        </w:rPr>
        <w:t>ОПОП-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У1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травмоопасных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 xml:space="preserve">У2 -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У4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З1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З2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З4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З6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1.1</w:t>
      </w:r>
      <w:r w:rsidR="00682E5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Оформлять документы, регламентирующие организацию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 xml:space="preserve">Применять в профессиональной деятельности основные положения, </w:t>
      </w:r>
      <w:r w:rsidRPr="00B77FC9">
        <w:rPr>
          <w:rFonts w:cs="Times New Roman"/>
          <w:w w:val="102"/>
          <w:lang w:val="ru-RU"/>
        </w:rPr>
        <w:lastRenderedPageBreak/>
        <w:t>регулирующие взаимоотношения пользователей транспорта и перевозчика.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OK 01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Выбирать способы решения задач профессиональной деятельности применительно к различным контекстам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04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Эффективно взаимодействовать и работать в коллективе и команде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07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09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Пользоваться профессиональной документацией на государственном и иностранном языках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20. Ценностное отношение обучающихся к своему здоровью и здоровью окружающих, ЗОЖ и здоровой окружающей среде и т.д.;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4C11D9" w:rsidRDefault="004C11D9" w:rsidP="00682E59">
      <w:pPr>
        <w:pStyle w:val="12"/>
        <w:ind w:firstLine="709"/>
        <w:jc w:val="both"/>
        <w:rPr>
          <w:b w:val="0"/>
        </w:rPr>
      </w:pPr>
    </w:p>
    <w:p w:rsidR="002D6C63" w:rsidRPr="00B77FC9" w:rsidRDefault="00040172" w:rsidP="00682E59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 xml:space="preserve">(очная форма обучения) </w:t>
      </w:r>
      <w:r w:rsidRPr="005C3E9C">
        <w:rPr>
          <w:b w:val="0"/>
        </w:rPr>
        <w:t>и</w:t>
      </w:r>
      <w:r w:rsidRPr="00B77FC9">
        <w:t xml:space="preserve"> </w:t>
      </w:r>
      <w:r w:rsidRPr="005C3E9C">
        <w:rPr>
          <w:i/>
        </w:rPr>
        <w:t>экзамен</w:t>
      </w:r>
      <w:r w:rsidR="00234F4A">
        <w:t xml:space="preserve"> </w:t>
      </w:r>
      <w:r w:rsidR="00234F4A">
        <w:rPr>
          <w:b w:val="0"/>
        </w:rPr>
        <w:t>(заочная форма обучения)</w:t>
      </w:r>
      <w:r w:rsidRPr="00B77FC9">
        <w:t>.</w:t>
      </w:r>
    </w:p>
    <w:p w:rsidR="00040172" w:rsidRDefault="00040172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Pr="00B77FC9" w:rsidRDefault="004C11D9" w:rsidP="00B77FC9">
      <w:pPr>
        <w:pStyle w:val="12"/>
        <w:ind w:firstLine="709"/>
        <w:jc w:val="left"/>
      </w:pP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У1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проводить анализ травмоопасных и вредных факторов в сфере профессиональной деятельности;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09, ПК 1.1, ПК 1.2, ПК 1.3,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У2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 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использовать индивидуальные и коллективные средства защиты;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У4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вести документацию установленного образца по охране труда, соблюдать сроки ее заполнения и условия хранения;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13568">
              <w:rPr>
                <w:rFonts w:ascii="Times New Roman" w:hAnsi="Times New Roman"/>
                <w:w w:val="102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У5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проводить специальную оценку условий труда (СОУТ)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свободное ориентирование в процедуре проведения оценки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З1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З2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ПК 1.1, ПК 1.2, ПК 1.3,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правовых, 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З4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5C3E9C">
              <w:rPr>
                <w:rFonts w:cs="Times New Roman"/>
                <w:spacing w:val="-6"/>
                <w:sz w:val="24"/>
                <w:szCs w:val="24"/>
                <w:lang w:val="ru-RU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56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З6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ПК, У, З,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№1</w:t>
            </w:r>
          </w:p>
        </w:tc>
        <w:tc>
          <w:tcPr>
            <w:tcW w:w="657" w:type="pct"/>
            <w:vAlign w:val="center"/>
          </w:tcPr>
          <w:p w:rsidR="00492F6C" w:rsidRPr="00492F6C" w:rsidRDefault="00E46D4D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З1,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обучения)/</w:t>
            </w:r>
          </w:p>
          <w:p w:rsidR="00492F6C" w:rsidRPr="00B77FC9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(заочная форма обучения)</w:t>
            </w:r>
          </w:p>
        </w:tc>
        <w:tc>
          <w:tcPr>
            <w:tcW w:w="656" w:type="pct"/>
            <w:vMerge w:val="restart"/>
          </w:tcPr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B77FC9" w:rsidRDefault="00492F6C" w:rsidP="00492F6C">
            <w:pPr>
              <w:pStyle w:val="11"/>
              <w:widowControl w:val="0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№3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У1,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№4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З3,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У4,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У2, З5,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У2, З5,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lastRenderedPageBreak/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У5, З6,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4.2.  Электробезопасность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№8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У3, З2,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Требования безопасности при эксплуатации машин, механизмов и подвижного состава. Безопасность проведения подъемно-транспортных и погрузочно- разгрузочных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№9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У1,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2B2886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4.4. Требования охраны труда и безопасные приемы </w:t>
            </w: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 №6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№10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У1,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Расчет показателей производственного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Тема 4.2.  Электробезопасность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CC000F" w:rsidP="00B77FC9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A214C7"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 1.2,</w:t>
      </w:r>
    </w:p>
    <w:p w:rsidR="00CC000F" w:rsidRDefault="00A214C7" w:rsidP="00B77FC9">
      <w:pPr>
        <w:tabs>
          <w:tab w:val="left" w:pos="0"/>
        </w:tabs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pacing w:val="-6"/>
          <w:sz w:val="28"/>
          <w:szCs w:val="28"/>
        </w:rPr>
        <w:t>ПК 1.3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со-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травмоопасных ситуации и избегать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 При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обстоятельств происшедшего,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24.08.2011г.в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окончания маневровой работы по перестановке груженых вагонов с пути № 11 на № 1 пути необщего пользования ООО «Транс- бункер-Ванино» составитель поездов А. получил задание на следование на выставочный путь № 11 пути необщего пользования ООО «Трансбун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ст. Ванино в 05.59 мск.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на ж/д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ж/д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рушил меры безопасности при нахождении на ж/д путях - переходил ж/д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ний по перестановке локомотивов на тракционных путях локомотивного ремонтного депо станции Московка Омского отделения 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 между автосцепками локомотивов № 1232 и № 1234, держась правой рукой за автосцепное устройство. В результате самонаката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>был доставлен в больницу с диагнозом «Травматическое отчле- нение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21.08.2011 г. в 00 часов 55 минут мск. времени при перестановке трех двухъярусных платформ для перевозки автомобилей с 6 пути парка «Б» на 5 путь грузового двора станции Черниковка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ставитель поездов М. ст. Черниковка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 технического обслуживания вагонов прошел в 2009 году, не женат,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03.02.2007 г. в локомотивном ремонтном депо Московка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«Западно-Сибирская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электропоезд в движение.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ЭР2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30.08.1991 г. в 15 часов местного времени в районе контактной сети станции Кокошино дистанции электроснабжения станции Барабинск Омского отделения Западно-Сибирской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нарушение Инструкции ЦЭ-761 п. Ш-2-23 руководитель работ П., совмещавший обязанности наблюдающего, не осуществлял должного контроля за работающими.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«С» станции Комбинатская Западно-Сибирской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«Газпромнефть» 15.07.2006 г. на станции Комбинатская. 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17.04.1995 г. в стройцехе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глого сечения. Г. доталкивал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ж/д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нику'. где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Перед началом работы при выдаче задания мастером стройгруппы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на ОРУ-ПО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доливе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 А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элегароожог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Вводный инструктаж пострадавшему был проведен 17.07.2003 г., первичный на рабочем месте — 18.07.2003 г., обучение по профессии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ла Омского отделения Западно-Сибирской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04.07.1995 г. в 9 часов 30 минут на станции Гилевка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нализации и связи ШЧ-Кулунда Западно-Сибирской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 СЦБ Кулундинской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веден. в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поясничного позвонка. Открытый оскольчатый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мирован электромонтер района контактной сети станции Любинская ЭЧК-112 Омской дистанции электроснабжения Д., 1968 г.р., группа по электробезопасности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мейное положение: женат,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них детей.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9 часов 01 минут местного времени членам бригады был проведен целевой инструктаж. Бригада, не выполнив в полном объеме технические мероприятия в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22.10.2011 г. в 16 часов 41 минуту мск.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ж/д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11.10.2011 г. на станции Екатеринбург-Товарный Екатеринбургского ДЦС Свердловской дирекции управления движением тяжело 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 приемосдатчик груза и багажа Г., 38 лет, стаж работы на ж/д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15 часов 53 мин местного времени приемосдатчик груза и багажа Г. осуществляла пропуск на территорию грузового двора станции 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седес» гос.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Пострадавшая Г. была доставлена в городскую больницу с диагнозом «перелом таза со смещением». 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автотехники через КПП;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14 октября 2003 г. в 9 часов 31 минуту на перегоне Валиханово-Урлю- тюб Иртышской дистанции пути структурного подразделения Омского отделения филиала «Западно-Сибирская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пк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Пропуская грузовой поезд, бригадир пути Г. сошел с колеи первого пути на обочину нечетного пути 205 км пк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подвижного состава, движущегося со скоростью 71 км/ч и был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Р-32- ЦП-730-2000 не встречал поезд установленным порядком, при выходе на ж/д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21.06.2013 г. в результате наезда подвижного состава смертельно травмирован составитель поездов железнодорожной станции 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нием Ш., 1967 г. р., стаж работы по профессии - 12 лет 9 месяцев, женат, иждивенцы отсутствуют.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заданию ДСП ст. Силикатная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ж/д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группе вагонов, стоящих на 5 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8C4E11" w:rsidRPr="00B77FC9" w:rsidRDefault="008C4E11" w:rsidP="00B77FC9">
      <w:pPr>
        <w:spacing w:after="0" w:line="240" w:lineRule="auto"/>
        <w:ind w:left="40" w:right="40" w:firstLine="83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3" w:right="8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количество полных часов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Сведения о проведении инструктажей и обучения по охране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Обучение по охране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(группового,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проведено в период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иждивении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 Сведения о проведении инструктажей и обучения по охране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Стажировка: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Обучение по охране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несчастный случай: 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2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с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несчастным случаем, характер и степень тяжести полученных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опьянении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Федерации и пункты Положения об особенностях расследования несчастных случаев 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 в отдельных отраслях и организациях, утвержденного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работающих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1000 - условное число работающих.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 М-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 С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Объясните, почему показатель частоты травматизма со смертельным и инвалидным исходом рассчитывается на условные 10000 человек.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ГОСТ Р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тушителя, и цифрами, обозначающими массу ОТВ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>и раструба-насадки для получения высокократной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Масса огнетушителя с зарядом,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Объем или масса ОТВ,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Производительность по пене, 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Дальность струи пены, м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Продолжительность действия, 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кислотные, в которых в качестве огнетушащего вещества применяют сжиженный диоксид углерода (углекислоту), а также аэрозольные и углекислотно-бромэтиловые, в качестве заряда в которых применяют галло- идированные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раструб-снегообразователь на очаг пожара и отвернуть до отказа маховичок или нажать на рычаг запорно-пускового устройства. Переход жидкой углекислоты в углекислый газ сопровождается резким охлаждением и часть ее превращается в «снег» в виде мельчайших кристаллических частиц с температурой t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3 - маховичок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 °С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 В,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установлены: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пуса огнетушителя требуемое избыточное давление, нажать кистью руки на ручку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Огнетушитель самосрабатывающий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 °С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СОТ непригодны для тушения щелочных и щелочноземельных металлов, а также веществ, горение которых происходит без доступа воздуха.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противопожарных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огнеограждающих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противодымной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 , некоторые более надежны, так как постоянно эксплуатируются, всегда открыты, имеют противодымную защиту).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ГОСТ 12.1.004-91 «Пожарная безопасность. Общие требования» и СНиП 21-01-97 «Пожарная безопасность зданий и сооружений» требуют организации беспрепятственного движения (движения без образования высоких травмоопасных плотностей) людей при возникновении чрезвычайной ситуации. Скопления людей с максимальной плотностью (9 чел./м2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(расположение пожарных гидрантов, внутренних пожарных кранов, насосы-повысители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Расстояние до ближайшей пожарной части ______ км.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>Нанести условными знаками (Приложение 9) места расположения огнетушителей, пожарных кранов, электрощитовых, кнопок пожарной сигнализации, мест включения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изучить порядок оказания первой помощи и отработать на тренажере прекардиальный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«Вкл/Выкл»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нанести на макете прекардиальный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Пострадавшим от действия электрического тока необходимо срочно оказать первую доврачебную помощь. Только в первые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к врачу. Комплекс сердечно-легочной реанимации включает в себя прекардиальный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Прекардиальный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после прекардиального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Надавливание на грудину производится в точке 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прекардиальный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 В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>кВ методом наброса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отключении установки может погаснуть электрический свет. Необходимо обеспечить освещение от другого источника (с учетом взры- во- и пожароопасности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 в отсутствии пульса на сонной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платок). На каждое дыхательное движение должно приходиться 3-5 массажных.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средств связи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Работы должны выполняться в определенной последовательности. На двухпутном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средств связи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сходе с рельсов одиночного подвижного железнодорожного состава для его подъемки применяются накаточные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личной длины, гидравлических домкратов, шлангов, пульта управления и другого оборудования. С помощью этой установки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газорежущей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 назначение накаточных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Продолжительность опыта, с</w:t>
            </w:r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средняя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средняя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выраженная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м/с</w:t>
            </w:r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снять показание сухого термометра (психрометра или термометра) и записать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тром Ассмана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>Определение соответствия полученных параметров воздуха оптимальным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>и допустимым по санитарным нормам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мости от энергозатрат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вой для планирования работы по охране труда с целью оптимизации условий труда работников предприятий.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воздуха-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влажности воздуха используют аспирационный психрометр Ассмана.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зуют крыльчатые или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чашечные анемометры, при меньших скоростях - термоанемометры. Принцип действия крыльчатого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предел измерения крыльчатого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Размер объекта различения, мм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585ABE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замеры искусственной освещенности на заданных рабочих местах при общем освещении, затем - при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результаты измерения освещенности на рабочих местах с нормативными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человеческого глаза, измерительного прибора, набора насадок (светофильтров). 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люксметры типа Люксметр-пульсаметр 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люксметр-пульсметр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«БЖшМ»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Принцип действия этих приборов основан на явлении фотоэлектрического эффекта (превращении световой энергии в электрическую), имеющего место при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попадании света на поверхность фотоэлемента, включенного в замкнутую цепь с электрическим прибором.</w:t>
      </w:r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ники которого расположены произвольно относительно светоприемника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и газоразрядными лампами различных типов. 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данных. 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«БЖ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Р,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тром можно измерить освещенность в диапазонах 5-30 и 20-100 люкс. Применяя одновременно насадки КМ,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Рис. 3. Внешний вид люксметра-пульсметра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Люксметр-пульсаметр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«on», при этом в левой части цифрового табло индицируется значение освещенности в люксах (Lx) или в килолюксах (кЬх), в правой части - значение коэффициента пульсации К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измерении освещенности люксметром «БЖшМ» при подготовке к измерению измеритель люксметра «БЖшМ»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КМ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 К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 по уровню 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м/с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 по уровню энергозатрат,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м/с</w:t>
            </w:r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Ш (более 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Ш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Наименьший размер объекта различения, мм</w:t>
            </w:r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Разряд зрительной рабо ты</w:t>
            </w:r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показатель ослепленности, Р</w:t>
            </w:r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lastRenderedPageBreak/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 То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 То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периодическое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403FBE" w:rsidRDefault="00403FBE" w:rsidP="00403FBE">
      <w:pPr>
        <w:pStyle w:val="75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right="-1" w:firstLine="709"/>
        <w:jc w:val="both"/>
        <w:rPr>
          <w:i/>
          <w:sz w:val="28"/>
          <w:szCs w:val="28"/>
        </w:rPr>
      </w:pPr>
      <w:r w:rsidRPr="00B77FC9">
        <w:rPr>
          <w:sz w:val="28"/>
          <w:szCs w:val="28"/>
        </w:rPr>
        <w:t xml:space="preserve">Контролируемые компетенции  </w:t>
      </w:r>
      <w:r w:rsidRPr="00B77FC9">
        <w:rPr>
          <w:i/>
          <w:sz w:val="28"/>
          <w:szCs w:val="28"/>
        </w:rPr>
        <w:t>ОК 01, ОК 02, ОК 04, ОК 07, ОК 09, ПК 1.1,</w:t>
      </w:r>
      <w:r>
        <w:rPr>
          <w:i/>
          <w:sz w:val="28"/>
          <w:szCs w:val="28"/>
        </w:rPr>
        <w:t xml:space="preserve"> </w:t>
      </w:r>
      <w:r w:rsidRPr="00B77FC9">
        <w:rPr>
          <w:i/>
          <w:sz w:val="28"/>
          <w:szCs w:val="28"/>
        </w:rPr>
        <w:t>ПК 1.2, ПК 1.3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Электробезопасность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пострадавшего нужно перевернуть на правый бок, так как иначе может наступить самоудушение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должен лежать на спине, при чем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дыхания, прежде всего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повернуть пострадавшего на бок и основанием ладони сделать 3-5 резких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закапать в глаз 3-4 капли сульфацил-натрия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r w:rsidRPr="00B77FC9">
        <w:rPr>
          <w:b/>
          <w:sz w:val="28"/>
          <w:szCs w:val="28"/>
        </w:rPr>
        <w:t>ся,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микроклимата..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>Дать классификацию опасных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меры предосторожности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C9E" w:rsidRPr="00B77FC9" w:rsidRDefault="00D44C9E" w:rsidP="00D44C9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Общественный контроль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Обязанности ДСП при нахождении на ж.д.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Оказание ПМП при сдавление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Инструкция для экзаменующегося: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B77FC9" w:rsidRDefault="00BB3B1C" w:rsidP="00BB3B1C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Общественный контроль за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>Обязанности ДСП при нахождении на ж.д.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Оказание ПМП при сдавление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BB3B1C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 w:rsidP="00BB3B1C">
      <w:pPr>
        <w:jc w:val="center"/>
        <w:rPr>
          <w:sz w:val="32"/>
          <w:szCs w:val="32"/>
        </w:rPr>
      </w:pPr>
    </w:p>
    <w:p w:rsidR="00BB3B1C" w:rsidRDefault="00BB3B1C" w:rsidP="00BB3B1C">
      <w:pPr>
        <w:jc w:val="center"/>
        <w:rPr>
          <w:b/>
        </w:rPr>
      </w:pP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Pr="00BB3B1C" w:rsidRDefault="007773D5" w:rsidP="00BB3B1C">
      <w:pPr>
        <w:widowControl w:val="0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 (экзамен)</w:t>
      </w:r>
    </w:p>
    <w:p w:rsid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3B1C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работодателя в области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способы в борьбе с шумом и вибрацией.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Государственный надзор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Пожарная техника.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Общественный контроль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Ответственность за нарушение требований по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Естественная и искусственная вентиляция.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hAnsi="Times New Roman" w:cs="Times New Roman"/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организации работ по охране труда в ОАО «РЖД».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Электромагнитные излучения и меры защиты от их воздействия.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Система стандартов безопасности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наведенного напряжения.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7773D5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статического и атмосферного электричества.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Производственный травматизм.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Технические средства, обеспечивающие безопасность работ в электроустановках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меры по предупреждению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шагового напряжения.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Обязанности ДСП при нахождении на ж.д. путях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ПМП при сдавление конечности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прикосновения к токоведущим частям.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br w:type="page"/>
      </w:r>
    </w:p>
    <w:p w:rsidR="00BB3B1C" w:rsidRDefault="00BB3B1C" w:rsidP="00BB3B1C">
      <w:pPr>
        <w:jc w:val="center"/>
        <w:rPr>
          <w:rStyle w:val="24"/>
        </w:rPr>
      </w:pPr>
      <w:r w:rsidRPr="00804888">
        <w:rPr>
          <w:rStyle w:val="24"/>
        </w:rPr>
        <w:t xml:space="preserve">Билеты для проведения </w:t>
      </w:r>
      <w:r>
        <w:rPr>
          <w:rStyle w:val="24"/>
        </w:rPr>
        <w:t>экзамена</w:t>
      </w: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Инструкция для экзаменующегося: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экзамене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757B68" w:rsidRDefault="00757B68" w:rsidP="00757B6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7B68" w:rsidRPr="00B77FC9" w:rsidRDefault="00757B68" w:rsidP="0057103F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компетенции: </w:t>
      </w:r>
      <w:r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</w:t>
      </w:r>
      <w:r w:rsidR="00C73294">
        <w:rPr>
          <w:rFonts w:ascii="Times New Roman" w:hAnsi="Times New Roman"/>
          <w:spacing w:val="-6"/>
          <w:sz w:val="28"/>
          <w:szCs w:val="28"/>
        </w:rPr>
        <w:t> </w:t>
      </w:r>
      <w:r w:rsidRPr="00B77FC9">
        <w:rPr>
          <w:rFonts w:ascii="Times New Roman" w:hAnsi="Times New Roman"/>
          <w:spacing w:val="-6"/>
          <w:sz w:val="28"/>
          <w:szCs w:val="28"/>
        </w:rPr>
        <w:t>1.2, ПК 1.3, ПК 2.1, ПК 2.2, ПК 2.3, ПК 3.1, ПК 3.2, ПК 3.3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2B10FF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2B10FF" w:rsidRPr="002B10FF" w:rsidRDefault="002B10FF" w:rsidP="00837686">
      <w:pPr>
        <w:pStyle w:val="a6"/>
        <w:numPr>
          <w:ilvl w:val="0"/>
          <w:numId w:val="76"/>
        </w:numPr>
        <w:tabs>
          <w:tab w:val="left" w:pos="426"/>
        </w:tabs>
        <w:ind w:left="0" w:firstLine="0"/>
      </w:pPr>
      <w:r w:rsidRPr="002B10FF">
        <w:t>Правила наложения повязок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num" w:pos="-1843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путях.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следовании к месту работы и обратно.</w:t>
      </w:r>
    </w:p>
    <w:p w:rsidR="002B10FF" w:rsidRPr="002B10FF" w:rsidRDefault="002B10FF" w:rsidP="00837686">
      <w:pPr>
        <w:pStyle w:val="a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Виды инструктажей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работодателя в области охраны труда.</w:t>
      </w: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способы в борьбе с шумом и вибрацией.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Государственный надзор за охраной труда.</w:t>
      </w: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</w:pPr>
      <w:r w:rsidRPr="002B10FF">
        <w:rPr>
          <w:sz w:val="24"/>
          <w:szCs w:val="24"/>
        </w:rPr>
        <w:t>Пожарная техника.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Общественный контроль за охраной труда.</w:t>
      </w: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Ответственность за нарушение требований по охране труда.</w:t>
      </w: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Естественная и искусственная вентиляция.</w:t>
      </w:r>
    </w:p>
    <w:p w:rsidR="002B10FF" w:rsidRPr="002B10FF" w:rsidRDefault="002B10FF" w:rsidP="002B10FF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инструктажей</w:t>
      </w: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организации работ по охране труда в ОАО «РЖД».</w:t>
      </w: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Электромагнитные излучения и меры защиты от их воздействия.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Система стандартов безопасности труда.</w:t>
      </w: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наведенного напряжения.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 xml:space="preserve">Льготы и компенсации 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1"/>
        </w:numPr>
        <w:tabs>
          <w:tab w:val="left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статического и атмосферного электричества.</w:t>
      </w:r>
    </w:p>
    <w:p w:rsidR="002B10FF" w:rsidRPr="002B10FF" w:rsidRDefault="002B10FF" w:rsidP="00837686">
      <w:pPr>
        <w:pStyle w:val="a6"/>
        <w:numPr>
          <w:ilvl w:val="0"/>
          <w:numId w:val="91"/>
        </w:numPr>
        <w:tabs>
          <w:tab w:val="clear" w:pos="1080"/>
          <w:tab w:val="num" w:pos="-5387"/>
          <w:tab w:val="left" w:pos="426"/>
        </w:tabs>
        <w:ind w:left="0" w:firstLine="0"/>
      </w:pPr>
      <w:r w:rsidRPr="002B10FF">
        <w:t>Первичные средства тушения пожаров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Производственный травматизм.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2B10FF" w:rsidRPr="002B10FF" w:rsidRDefault="002B10FF" w:rsidP="002B10FF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меры по предупреждению травматизма.</w:t>
      </w: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clear" w:pos="1080"/>
          <w:tab w:val="num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шагового напряжения.</w:t>
      </w:r>
    </w:p>
    <w:p w:rsidR="002B10FF" w:rsidRPr="002B10FF" w:rsidRDefault="002B10FF" w:rsidP="00837686">
      <w:pPr>
        <w:pStyle w:val="a6"/>
        <w:numPr>
          <w:ilvl w:val="0"/>
          <w:numId w:val="96"/>
        </w:numPr>
        <w:tabs>
          <w:tab w:val="clear" w:pos="1080"/>
          <w:tab w:val="left" w:pos="426"/>
        </w:tabs>
        <w:ind w:left="0" w:firstLine="0"/>
      </w:pPr>
      <w:r w:rsidRPr="002B10FF">
        <w:t>Обязанности ДСП при нахождении на ж.д. путях</w:t>
      </w:r>
    </w:p>
    <w:p w:rsidR="002B10FF" w:rsidRPr="002B10FF" w:rsidRDefault="002B10FF" w:rsidP="002B10FF">
      <w:pPr>
        <w:pStyle w:val="16"/>
        <w:ind w:left="720"/>
        <w:jc w:val="both"/>
        <w:rPr>
          <w:color w:val="FF0000"/>
          <w:sz w:val="24"/>
          <w:szCs w:val="24"/>
        </w:rPr>
      </w:pPr>
      <w:r w:rsidRPr="002B10FF">
        <w:rPr>
          <w:color w:val="FF0000"/>
          <w:sz w:val="24"/>
          <w:szCs w:val="24"/>
        </w:rPr>
        <w:t>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Оказание ПМП при сдавление конечности</w:t>
      </w: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Средства индивидуальной защиты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Требования охраны труда в аварийных ситуациях ДСП</w:t>
      </w: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</w:pPr>
      <w:r w:rsidRPr="002B10FF">
        <w:t>Требования охраны труда перед началом работы ДСП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1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</w:rPr>
      </w:pPr>
      <w:r w:rsidRPr="002B10FF">
        <w:rPr>
          <w:sz w:val="24"/>
        </w:rPr>
        <w:t>Действия работников железнодорожного транспорта в аварийных ситуациях.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«</w:t>
      </w:r>
      <w:r w:rsidR="00C92DD3">
        <w:rPr>
          <w:rFonts w:ascii="Times New Roman" w:hAnsi="Times New Roman" w:cs="Times New Roman"/>
          <w:b/>
        </w:rPr>
        <w:t>Приволжский</w:t>
      </w:r>
      <w:r w:rsidRPr="002B10FF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прикосновения к токоведущим частям.</w:t>
      </w: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2B10FF" w:rsidRPr="002B10FF" w:rsidRDefault="002B10FF" w:rsidP="002B10FF">
      <w:pPr>
        <w:pStyle w:val="16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FC9" w:rsidRPr="002B10FF" w:rsidRDefault="00B77FC9" w:rsidP="002B10F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77FC9" w:rsidRPr="002B10FF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EC" w:rsidRDefault="00D41DEC" w:rsidP="00274C98">
      <w:pPr>
        <w:spacing w:after="0" w:line="240" w:lineRule="auto"/>
      </w:pPr>
      <w:r>
        <w:separator/>
      </w:r>
    </w:p>
  </w:endnote>
  <w:endnote w:type="continuationSeparator" w:id="1">
    <w:p w:rsidR="00D41DEC" w:rsidRDefault="00D41DEC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altName w:val="Arial Black"/>
    <w:panose1 w:val="020B0903020102020204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5BB0" w:rsidRPr="007258DD" w:rsidRDefault="00585ABE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5BB0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7F06">
          <w:rPr>
            <w:rFonts w:ascii="Times New Roman" w:hAnsi="Times New Roman" w:cs="Times New Roman"/>
            <w:noProof/>
            <w:sz w:val="20"/>
            <w:szCs w:val="20"/>
          </w:rPr>
          <w:t>64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EC" w:rsidRDefault="00D41DEC" w:rsidP="00274C98">
      <w:pPr>
        <w:spacing w:after="0" w:line="240" w:lineRule="auto"/>
      </w:pPr>
      <w:r>
        <w:separator/>
      </w:r>
    </w:p>
  </w:footnote>
  <w:footnote w:type="continuationSeparator" w:id="1">
    <w:p w:rsidR="00D41DEC" w:rsidRDefault="00D41DEC" w:rsidP="00274C98">
      <w:pPr>
        <w:spacing w:after="0" w:line="240" w:lineRule="auto"/>
      </w:pPr>
      <w:r>
        <w:continuationSeparator/>
      </w:r>
    </w:p>
  </w:footnote>
  <w:footnote w:id="2">
    <w:p w:rsidR="001C5BB0" w:rsidRDefault="001C5BB0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942ED"/>
    <w:rsid w:val="001A1C83"/>
    <w:rsid w:val="001A79F8"/>
    <w:rsid w:val="001C2897"/>
    <w:rsid w:val="001C5BB0"/>
    <w:rsid w:val="001D35F9"/>
    <w:rsid w:val="001E013F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4D34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25D3B"/>
    <w:rsid w:val="005275BF"/>
    <w:rsid w:val="0053306F"/>
    <w:rsid w:val="00547067"/>
    <w:rsid w:val="00552CEF"/>
    <w:rsid w:val="00555CE1"/>
    <w:rsid w:val="00557ADA"/>
    <w:rsid w:val="0057103F"/>
    <w:rsid w:val="00572BA2"/>
    <w:rsid w:val="00584375"/>
    <w:rsid w:val="00585ABE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747E"/>
    <w:rsid w:val="005E5867"/>
    <w:rsid w:val="005F20A4"/>
    <w:rsid w:val="00600B79"/>
    <w:rsid w:val="00605571"/>
    <w:rsid w:val="00606726"/>
    <w:rsid w:val="00607434"/>
    <w:rsid w:val="00620A7C"/>
    <w:rsid w:val="00630E4F"/>
    <w:rsid w:val="00632C15"/>
    <w:rsid w:val="00640FCA"/>
    <w:rsid w:val="00660DA1"/>
    <w:rsid w:val="0066279C"/>
    <w:rsid w:val="0066564F"/>
    <w:rsid w:val="00670E6C"/>
    <w:rsid w:val="00677A8C"/>
    <w:rsid w:val="00682CAD"/>
    <w:rsid w:val="00682E59"/>
    <w:rsid w:val="00684733"/>
    <w:rsid w:val="00687F06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17E8F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D74"/>
    <w:rsid w:val="009E33A6"/>
    <w:rsid w:val="009F09AA"/>
    <w:rsid w:val="009F102E"/>
    <w:rsid w:val="009F259F"/>
    <w:rsid w:val="009F4BBB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72E1"/>
    <w:rsid w:val="00C006F8"/>
    <w:rsid w:val="00C3695E"/>
    <w:rsid w:val="00C464A5"/>
    <w:rsid w:val="00C6604A"/>
    <w:rsid w:val="00C73294"/>
    <w:rsid w:val="00C74E59"/>
    <w:rsid w:val="00C868F2"/>
    <w:rsid w:val="00C92DD3"/>
    <w:rsid w:val="00CB57C3"/>
    <w:rsid w:val="00CB7036"/>
    <w:rsid w:val="00CC000F"/>
    <w:rsid w:val="00CD43C9"/>
    <w:rsid w:val="00CF25FF"/>
    <w:rsid w:val="00D03F1F"/>
    <w:rsid w:val="00D108E3"/>
    <w:rsid w:val="00D2153C"/>
    <w:rsid w:val="00D41DE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6DB4"/>
    <w:rsid w:val="00EB1AF3"/>
    <w:rsid w:val="00EB38F8"/>
    <w:rsid w:val="00EC5D31"/>
    <w:rsid w:val="00ED197B"/>
    <w:rsid w:val="00EE5A28"/>
    <w:rsid w:val="00F0090D"/>
    <w:rsid w:val="00F07CD3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6225-85B8-4559-AD67-6D42FF94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27292</Words>
  <Characters>155567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Пользователь</cp:lastModifiedBy>
  <cp:revision>110</cp:revision>
  <cp:lastPrinted>2021-12-15T08:24:00Z</cp:lastPrinted>
  <dcterms:created xsi:type="dcterms:W3CDTF">2017-12-27T13:50:00Z</dcterms:created>
  <dcterms:modified xsi:type="dcterms:W3CDTF">2025-04-18T19:55:00Z</dcterms:modified>
</cp:coreProperties>
</file>