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D03383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B4B45">
        <w:rPr>
          <w:rFonts w:ascii="Times New Roman" w:hAnsi="Times New Roman" w:cs="Times New Roman"/>
          <w:sz w:val="24"/>
          <w:lang w:val="en-US"/>
        </w:rPr>
        <w:t>9</w:t>
      </w:r>
      <w:r w:rsidR="00AB4B45">
        <w:rPr>
          <w:rFonts w:ascii="Times New Roman" w:hAnsi="Times New Roman" w:cs="Times New Roman"/>
          <w:sz w:val="24"/>
        </w:rPr>
        <w:t>.</w:t>
      </w:r>
      <w:r w:rsidR="00AB4B45">
        <w:rPr>
          <w:rFonts w:ascii="Times New Roman" w:hAnsi="Times New Roman" w:cs="Times New Roman"/>
          <w:sz w:val="24"/>
          <w:lang w:val="en-US"/>
        </w:rPr>
        <w:t>3</w:t>
      </w:r>
      <w:r w:rsidR="00AB4B45">
        <w:rPr>
          <w:rFonts w:ascii="Times New Roman" w:hAnsi="Times New Roman" w:cs="Times New Roman"/>
          <w:sz w:val="24"/>
        </w:rPr>
        <w:t>.</w:t>
      </w:r>
      <w:r w:rsidR="00D03383">
        <w:rPr>
          <w:rFonts w:ascii="Times New Roman" w:hAnsi="Times New Roman" w:cs="Times New Roman"/>
          <w:sz w:val="24"/>
        </w:rPr>
        <w:t>34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362271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10367" w:rsidRPr="000103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10367" w:rsidRPr="0001036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B4B45" w:rsidRPr="00CC595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AB4B45" w:rsidRPr="00B012B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 : учебное пособие / Ю. В. Шипилова. — Москва : УМЦ ЖДТ, 2022. — 296 с. — Текст : электронный // УМЦ ЖДТ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СПС КонсультантПлюс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КонсультантПлюс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КонсультантПлюс.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 : методическое пособие / А. В. Орлова. — Москва : ФГБУ ДПО «Учебно-методический центр по образованию на железнодорожном транспорте», 2019. — 104 с. — Текст : электронный // УМЦ ЖДТ : электронная библиотека. — URL: https://umczdt.ru/books/1258/234795/. — Режим доступа: по подписке.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https://umczdt.ru/books/1258/239494/. — Режим доступа: по подписке.</w:t>
      </w:r>
    </w:p>
    <w:p w:rsidR="00AB4B45" w:rsidRPr="009249F9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 : методическое пособие / А. В. Орлова. — Москва : ФГБУ ДПО «Учебно методический центр по образованию на железнодорожном транспорте», 2020. — 109 с. — Текст : электронный // УМЦ ЖДТ : электронная библиотека. — URL: https://umczdt.ru/books/1258/239498/. — Режим доступа: по подписке.</w:t>
      </w:r>
    </w:p>
    <w:p w:rsidR="00AB4B45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0154E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 : методическое пособие / Н. П. Щеглова. — Москва : УМЦ ЖДТ, 2024. — 88 с. — Текст : электронный // УМЦ ЖДТ : электронная библиотека. — URL: https://umczdt.ru/books/1258/288639/. — Режим доступа: по подписке.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w w:val="104"/>
          <w:sz w:val="24"/>
          <w:szCs w:val="28"/>
        </w:rPr>
        <w:t xml:space="preserve"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</w:t>
      </w:r>
      <w:r w:rsidRPr="009249F9">
        <w:rPr>
          <w:rFonts w:ascii="Times New Roman" w:hAnsi="Times New Roman"/>
          <w:w w:val="104"/>
          <w:sz w:val="24"/>
          <w:szCs w:val="28"/>
        </w:rPr>
        <w:lastRenderedPageBreak/>
        <w:t>Часть 2 : методическое пособие / Н. П. Щеглова. — Москва : УМЦ ЖДТ, 2024. — 97 с. — Текст : электронный // УМЦ ЖДТ : электронная библиотека. — URL: https://umczdt.ru/books/1258/288625/. — Режим доступа: по подписке.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РЖ</w:t>
      </w:r>
      <w:r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00" w:rsidRPr="004C712E" w:rsidRDefault="00DF0F0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F0F00" w:rsidRPr="004C712E" w:rsidRDefault="00DF0F0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01036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362271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010367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362271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01036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01036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2271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00" w:rsidRPr="004C712E" w:rsidRDefault="00DF0F0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F0F00" w:rsidRPr="004C712E" w:rsidRDefault="00DF0F0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0367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3266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2271"/>
    <w:rsid w:val="00363AA4"/>
    <w:rsid w:val="00384932"/>
    <w:rsid w:val="00387B90"/>
    <w:rsid w:val="003952FB"/>
    <w:rsid w:val="003C752C"/>
    <w:rsid w:val="003D6E44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5C319C"/>
    <w:rsid w:val="005D184B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B4B45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03383"/>
    <w:rsid w:val="00D33AA1"/>
    <w:rsid w:val="00D4496B"/>
    <w:rsid w:val="00D740B3"/>
    <w:rsid w:val="00DC4EB7"/>
    <w:rsid w:val="00DE3ECA"/>
    <w:rsid w:val="00DF0F00"/>
    <w:rsid w:val="00DF51A7"/>
    <w:rsid w:val="00E148B9"/>
    <w:rsid w:val="00E1579B"/>
    <w:rsid w:val="00E22F08"/>
    <w:rsid w:val="00E3178D"/>
    <w:rsid w:val="00E347CE"/>
    <w:rsid w:val="00E41BA0"/>
    <w:rsid w:val="00E45467"/>
    <w:rsid w:val="00E51C9B"/>
    <w:rsid w:val="00E66DED"/>
    <w:rsid w:val="00E726B0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5336-4297-45E1-BF9F-A45813A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11394</Words>
  <Characters>64950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97</cp:revision>
  <dcterms:created xsi:type="dcterms:W3CDTF">2023-02-09T09:18:00Z</dcterms:created>
  <dcterms:modified xsi:type="dcterms:W3CDTF">2025-04-18T21:18:00Z</dcterms:modified>
</cp:coreProperties>
</file>