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132B0E">
        <w:rPr>
          <w:rStyle w:val="2"/>
          <w:color w:val="FF0000"/>
        </w:rPr>
        <w:t>9.3.</w:t>
      </w:r>
      <w:r w:rsidR="003B039B" w:rsidRPr="00132B0E">
        <w:rPr>
          <w:rStyle w:val="2"/>
          <w:color w:val="FF0000"/>
        </w:rPr>
        <w:t>26</w:t>
      </w:r>
    </w:p>
    <w:p w:rsidR="0023778E" w:rsidRPr="003E229C" w:rsidRDefault="00A85C3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7F1A08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9C0F0C">
        <w:rPr>
          <w:rStyle w:val="2"/>
          <w:i/>
        </w:rPr>
        <w:t>Организация сервисного обслуживания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9C0F0C" w:rsidRPr="003E229C" w:rsidRDefault="009C0F0C" w:rsidP="009C0F0C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2D4054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</w:t>
            </w:r>
            <w:proofErr w:type="gramStart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рассредоточено</w:t>
            </w:r>
            <w:proofErr w:type="gramEnd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журнал движения и </w:t>
            </w:r>
            <w:proofErr w:type="gramStart"/>
            <w:r>
              <w:rPr>
                <w:rStyle w:val="fontstyle01"/>
              </w:rPr>
              <w:t>на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ГИД</w:t>
            </w:r>
            <w:proofErr w:type="gramEnd"/>
            <w:r>
              <w:rPr>
                <w:rStyle w:val="fontstyle01"/>
              </w:rPr>
              <w:t>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в управлении движением поездов.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16" w:rsidRDefault="001E0B1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E0B16" w:rsidRDefault="001E0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16" w:rsidRDefault="001E0B1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E0B16" w:rsidRDefault="001E0B16">
      <w:r>
        <w:continuationSeparator/>
      </w:r>
    </w:p>
  </w:footnote>
  <w:footnote w:id="1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32B0E"/>
    <w:rsid w:val="0014541D"/>
    <w:rsid w:val="00153C58"/>
    <w:rsid w:val="001569D2"/>
    <w:rsid w:val="00162762"/>
    <w:rsid w:val="001A6C04"/>
    <w:rsid w:val="001D1E61"/>
    <w:rsid w:val="001E0B16"/>
    <w:rsid w:val="001F2846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2C37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2B3E"/>
    <w:rsid w:val="00692767"/>
    <w:rsid w:val="006A2ECB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F1A08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C0F0C"/>
    <w:rsid w:val="009E0735"/>
    <w:rsid w:val="00A06B1F"/>
    <w:rsid w:val="00A103D8"/>
    <w:rsid w:val="00A2304F"/>
    <w:rsid w:val="00A51B66"/>
    <w:rsid w:val="00A85C34"/>
    <w:rsid w:val="00AB21D2"/>
    <w:rsid w:val="00AD4E06"/>
    <w:rsid w:val="00AE41DD"/>
    <w:rsid w:val="00AE464B"/>
    <w:rsid w:val="00AF1AC8"/>
    <w:rsid w:val="00B3506A"/>
    <w:rsid w:val="00B927AC"/>
    <w:rsid w:val="00BA085C"/>
    <w:rsid w:val="00BE2EB8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01CE6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10</cp:revision>
  <cp:lastPrinted>2023-04-11T13:11:00Z</cp:lastPrinted>
  <dcterms:created xsi:type="dcterms:W3CDTF">2023-04-14T09:07:00Z</dcterms:created>
  <dcterms:modified xsi:type="dcterms:W3CDTF">2024-08-29T07:18:00Z</dcterms:modified>
</cp:coreProperties>
</file>