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E4155E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6201B" w:rsidRDefault="00E6201B" w:rsidP="0066762D">
      <w:pPr>
        <w:jc w:val="center"/>
        <w:rPr>
          <w:sz w:val="28"/>
          <w:lang w:eastAsia="ru-RU"/>
        </w:rPr>
      </w:pPr>
    </w:p>
    <w:p w:rsidR="00E6201B" w:rsidRDefault="00E6201B" w:rsidP="0066762D">
      <w:pPr>
        <w:jc w:val="center"/>
        <w:rPr>
          <w:sz w:val="28"/>
          <w:lang w:eastAsia="ru-RU"/>
        </w:rPr>
      </w:pPr>
      <w:bookmarkStart w:id="0" w:name="_GoBack"/>
      <w:bookmarkEnd w:id="0"/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lastRenderedPageBreak/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4F492C">
        <w:rPr>
          <w:sz w:val="28"/>
        </w:rPr>
        <w:t>23</w:t>
      </w:r>
      <w:r w:rsidR="00EC5E7A">
        <w:rPr>
          <w:sz w:val="28"/>
        </w:rPr>
        <w:t>.02.1</w:t>
      </w:r>
      <w:r w:rsidR="004F492C">
        <w:rPr>
          <w:sz w:val="28"/>
        </w:rPr>
        <w:t>08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выявлять имеющиеся неисправности элементов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lastRenderedPageBreak/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</w:t>
            </w:r>
            <w:r w:rsidRPr="002A22D6">
              <w:rPr>
                <w:rStyle w:val="FontStyle57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 xml:space="preserve">-выявления дефектов в </w:t>
            </w:r>
            <w:r w:rsidRPr="002A22D6">
              <w:rPr>
                <w:lang w:eastAsia="ru-RU"/>
              </w:rPr>
              <w:lastRenderedPageBreak/>
              <w:t>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216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ж\б со скреплением АРС .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ЖБР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КБ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ФОССЛО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деревянная с костыльным скреплением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</w:t>
      </w:r>
      <w:r>
        <w:rPr>
          <w:sz w:val="28"/>
          <w:szCs w:val="28"/>
          <w:lang w:eastAsia="ru-RU"/>
        </w:rPr>
        <w:lastRenderedPageBreak/>
        <w:t xml:space="preserve">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 xml:space="preserve">ОК 1 Выбирать способы решения задач профессиональной </w:t>
            </w:r>
            <w:r w:rsidRPr="00557E00">
              <w:lastRenderedPageBreak/>
              <w:t>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</w:t>
            </w:r>
            <w:r w:rsidRPr="00557E00">
              <w:lastRenderedPageBreak/>
              <w:t>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- проявлять сформированную позицию гражданской идентичности, </w:t>
            </w:r>
            <w:r w:rsidRPr="00557E00">
              <w:rPr>
                <w:rFonts w:ascii="Times New Roman" w:hAnsi="Times New Roman" w:cs="Times New Roman"/>
              </w:rPr>
              <w:lastRenderedPageBreak/>
              <w:t>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:rsidTr="007A72D4">
        <w:tc>
          <w:tcPr>
            <w:tcW w:w="23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lastRenderedPageBreak/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A6" w:rsidRDefault="000550A6" w:rsidP="005D7A99">
      <w:r>
        <w:separator/>
      </w:r>
    </w:p>
  </w:endnote>
  <w:endnote w:type="continuationSeparator" w:id="0">
    <w:p w:rsidR="000550A6" w:rsidRDefault="000550A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01B">
          <w:rPr>
            <w:noProof/>
          </w:rPr>
          <w:t>3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A6" w:rsidRDefault="000550A6" w:rsidP="005D7A99">
      <w:r>
        <w:separator/>
      </w:r>
    </w:p>
  </w:footnote>
  <w:footnote w:type="continuationSeparator" w:id="0">
    <w:p w:rsidR="000550A6" w:rsidRDefault="000550A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550A6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55E"/>
    <w:rsid w:val="00E41A51"/>
    <w:rsid w:val="00E44C0A"/>
    <w:rsid w:val="00E54B1B"/>
    <w:rsid w:val="00E568E2"/>
    <w:rsid w:val="00E6201B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63654-DB4D-416D-A477-6AB2447B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25</cp:revision>
  <cp:lastPrinted>2023-10-24T10:42:00Z</cp:lastPrinted>
  <dcterms:created xsi:type="dcterms:W3CDTF">2022-11-28T15:28:00Z</dcterms:created>
  <dcterms:modified xsi:type="dcterms:W3CDTF">2024-06-10T07:13:00Z</dcterms:modified>
</cp:coreProperties>
</file>