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A08D1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A08D1">
        <w:rPr>
          <w:rStyle w:val="2"/>
        </w:rPr>
        <w:t>Приложение 9.3.</w:t>
      </w:r>
      <w:r w:rsidR="003B039B" w:rsidRPr="003A08D1">
        <w:rPr>
          <w:rStyle w:val="2"/>
        </w:rPr>
        <w:t>26</w:t>
      </w:r>
      <w:r w:rsidR="003A08D1" w:rsidRPr="003A08D1">
        <w:rPr>
          <w:rStyle w:val="2"/>
        </w:rPr>
        <w:t>.5</w:t>
      </w:r>
    </w:p>
    <w:p w:rsidR="0023778E" w:rsidRPr="003E229C" w:rsidRDefault="002E732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4F6BC6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2E7320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</w:t>
            </w:r>
            <w:proofErr w:type="spellStart"/>
            <w:r w:rsidRPr="00B6614E">
              <w:rPr>
                <w:rStyle w:val="10pt"/>
                <w:color w:val="auto"/>
                <w:sz w:val="24"/>
              </w:rPr>
              <w:t>необщего</w:t>
            </w:r>
            <w:proofErr w:type="spellEnd"/>
            <w:r w:rsidRPr="00B6614E">
              <w:rPr>
                <w:rStyle w:val="10pt"/>
                <w:color w:val="auto"/>
                <w:sz w:val="24"/>
              </w:rPr>
              <w:t xml:space="preserve">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4C" w:rsidRDefault="00EE134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E134C" w:rsidRDefault="00EE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4C" w:rsidRDefault="00EE134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E134C" w:rsidRDefault="00EE134C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D372A"/>
    <w:rsid w:val="000D38AF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E7320"/>
    <w:rsid w:val="002F369A"/>
    <w:rsid w:val="00300F5B"/>
    <w:rsid w:val="00302BAD"/>
    <w:rsid w:val="003045B3"/>
    <w:rsid w:val="00315740"/>
    <w:rsid w:val="003556E8"/>
    <w:rsid w:val="00362C50"/>
    <w:rsid w:val="00364521"/>
    <w:rsid w:val="00370CD9"/>
    <w:rsid w:val="00376198"/>
    <w:rsid w:val="003A08D1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0180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134C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63AF-FBFC-45D7-B3BB-ADF577AA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69</cp:revision>
  <cp:lastPrinted>2023-04-14T10:00:00Z</cp:lastPrinted>
  <dcterms:created xsi:type="dcterms:W3CDTF">2023-04-14T09:57:00Z</dcterms:created>
  <dcterms:modified xsi:type="dcterms:W3CDTF">2025-04-10T15:04:00Z</dcterms:modified>
</cp:coreProperties>
</file>