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Pr="003550FF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:rsidR="00753B00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753B00" w:rsidRPr="006C7FE9" w:rsidRDefault="00753B00" w:rsidP="00753B00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ОП.08</w:t>
      </w:r>
      <w:r w:rsidR="002022A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Информационные технологии в профессиональной деятельности</w:t>
      </w:r>
    </w:p>
    <w:p w:rsidR="00753B00" w:rsidRDefault="00753B00" w:rsidP="00753B00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p w:rsidR="00753B00" w:rsidRPr="000163B1" w:rsidRDefault="00BD703C" w:rsidP="00753B0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D703C">
        <w:rPr>
          <w:rFonts w:ascii="Times New Roman" w:hAnsi="Times New Roman"/>
          <w:b/>
          <w:sz w:val="32"/>
          <w:szCs w:val="32"/>
        </w:rPr>
        <w:t>08</w:t>
      </w:r>
      <w:r w:rsidR="00753B00" w:rsidRPr="00BC2255">
        <w:rPr>
          <w:rFonts w:ascii="Times New Roman" w:hAnsi="Times New Roman"/>
          <w:b/>
          <w:sz w:val="32"/>
          <w:szCs w:val="32"/>
        </w:rPr>
        <w:t>.02.</w:t>
      </w:r>
      <w:r w:rsidRPr="00BD703C">
        <w:rPr>
          <w:rFonts w:ascii="Times New Roman" w:hAnsi="Times New Roman"/>
          <w:b/>
          <w:sz w:val="32"/>
          <w:szCs w:val="32"/>
        </w:rPr>
        <w:t>10</w:t>
      </w:r>
      <w:r w:rsidR="002022A6">
        <w:rPr>
          <w:rFonts w:ascii="Times New Roman" w:hAnsi="Times New Roman"/>
          <w:b/>
          <w:sz w:val="32"/>
          <w:szCs w:val="32"/>
        </w:rPr>
        <w:t xml:space="preserve"> </w:t>
      </w:r>
      <w:r w:rsidR="00753B00" w:rsidRPr="000163B1">
        <w:rPr>
          <w:rFonts w:ascii="Times New Roman" w:hAnsi="Times New Roman" w:cs="Times New Roman"/>
          <w:b/>
          <w:sz w:val="32"/>
          <w:szCs w:val="32"/>
        </w:rPr>
        <w:t>Строительство  железных д</w:t>
      </w:r>
      <w:r w:rsidR="00753B00">
        <w:rPr>
          <w:rFonts w:ascii="Times New Roman" w:hAnsi="Times New Roman" w:cs="Times New Roman"/>
          <w:b/>
          <w:sz w:val="32"/>
          <w:szCs w:val="32"/>
        </w:rPr>
        <w:t>орог, путь и путевое  хозяйство</w:t>
      </w:r>
    </w:p>
    <w:p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753B00" w:rsidRPr="007F3C11" w:rsidRDefault="00753B00" w:rsidP="00753B00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753B00" w:rsidRPr="0037716F" w:rsidRDefault="00753B00" w:rsidP="00753B00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F27E62" w:rsidRPr="00F27E62" w:rsidRDefault="00F27E62" w:rsidP="00F27E6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 w:rsidRPr="00F27E62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(база среднего общего образования)</w:t>
      </w: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СОДЕРЖАНИЕ</w:t>
      </w:r>
    </w:p>
    <w:p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53B00" w:rsidRPr="00753B00" w:rsidRDefault="00753B00" w:rsidP="00753B0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5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 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12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13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:rsidR="00753B00" w:rsidRPr="00753B00" w:rsidRDefault="00753B00" w:rsidP="00753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1 паспорт рабочей ПРОГРАММЫ УЧЕБНОЙ ДИСЦИПЛИНЫ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«Информационные технологии в профессиональной </w:t>
      </w:r>
      <w:proofErr w:type="spellStart"/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деятельности</w:t>
      </w:r>
      <w:proofErr w:type="gramStart"/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»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вляется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BD703C" w:rsidRPr="00BD703C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114F62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="00BD703C" w:rsidRPr="00BD703C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Строительство железных дорог, путь и путевое хозяйство.</w:t>
      </w:r>
    </w:p>
    <w:p w:rsidR="00753B00" w:rsidRPr="00753B00" w:rsidRDefault="00753B00" w:rsidP="00753B0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входит в цикл «Математических, естественнонаучных о общепрофессиональных дисциплин».</w:t>
      </w:r>
    </w:p>
    <w:p w:rsidR="00753B00" w:rsidRPr="00753B00" w:rsidRDefault="00753B00" w:rsidP="00753B00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6"/>
        </w:rPr>
        <w:t>1.3Планируемые результаты освоения учебной дисциплины: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1.3.1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 В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 результате освоения учебной дисциплины обучающийся должен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У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6"/>
        </w:rPr>
        <w:t>1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6"/>
        </w:rPr>
        <w:t>.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</w:t>
      </w:r>
      <w:proofErr w:type="gramStart"/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1</w:t>
      </w:r>
      <w:proofErr w:type="gramEnd"/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.основные понятия автоматизированной обработки информации;</w:t>
      </w:r>
    </w:p>
    <w:p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</w:t>
      </w:r>
      <w:proofErr w:type="gramStart"/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proofErr w:type="gramEnd"/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.общий состав и структуру персональных электронно-вычислительных машин (ЭВМ) и вычислительных систем;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З3.базовые системные программные продукты и пакеты прикладных про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lastRenderedPageBreak/>
        <w:t>1.3.2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 В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-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общие:</w:t>
      </w:r>
    </w:p>
    <w:p w:rsidR="00753B00" w:rsidRPr="00753B00" w:rsidRDefault="00753B00" w:rsidP="00753B0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proofErr w:type="gramStart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;</w:t>
      </w:r>
    </w:p>
    <w:p w:rsidR="00753B00" w:rsidRPr="00753B00" w:rsidRDefault="00753B00" w:rsidP="00753B0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профессиональные:</w:t>
      </w:r>
    </w:p>
    <w:p w:rsidR="00753B00" w:rsidRPr="00753B00" w:rsidRDefault="00753B00" w:rsidP="00753B0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1.2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брабатывать материалы геодезических съемок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</w:rPr>
        <w:t>- ПК 2.3</w:t>
      </w:r>
      <w:proofErr w:type="gramStart"/>
      <w:r w:rsidRPr="00753B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753B00">
        <w:rPr>
          <w:rFonts w:ascii="Times New Roman" w:eastAsia="Times New Roman" w:hAnsi="Times New Roman" w:cs="Times New Roman"/>
          <w:bCs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-ПК 3.1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- 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1.3.3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 В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 результате освоения программы учебной дисциплины 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proofErr w:type="gramStart"/>
      <w:r w:rsidRPr="00753B00">
        <w:rPr>
          <w:rFonts w:ascii="Times New Roman" w:eastAsia="Calibri" w:hAnsi="Times New Roman" w:cs="Times New Roman"/>
          <w:sz w:val="28"/>
          <w:szCs w:val="28"/>
        </w:rPr>
        <w:t>Проявляющий</w:t>
      </w:r>
      <w:proofErr w:type="gramEnd"/>
      <w:r w:rsidRPr="00753B00">
        <w:rPr>
          <w:rFonts w:ascii="Times New Roman" w:eastAsia="Calibri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53B00">
        <w:rPr>
          <w:rFonts w:ascii="Times New Roman" w:eastAsia="Calibri" w:hAnsi="Times New Roman" w:cs="Times New Roman"/>
          <w:sz w:val="28"/>
          <w:szCs w:val="28"/>
        </w:rPr>
        <w:t>Стремящийся</w:t>
      </w:r>
      <w:proofErr w:type="gramEnd"/>
      <w:r w:rsidRPr="00753B00">
        <w:rPr>
          <w:rFonts w:ascii="Times New Roman" w:eastAsia="Calibri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10.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проектно</w:t>
      </w:r>
      <w:proofErr w:type="spellEnd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-м</w:t>
      </w:r>
      <w:proofErr w:type="gramEnd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ыслящий;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ЛР 14.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Приобретение </w:t>
      </w:r>
      <w:proofErr w:type="gramStart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обучающимся</w:t>
      </w:r>
      <w:proofErr w:type="gramEnd"/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proofErr w:type="gramStart"/>
      <w:r w:rsidRPr="00753B00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753B00">
        <w:rPr>
          <w:rFonts w:ascii="Times New Roman" w:eastAsia="Calibri" w:hAnsi="Times New Roman" w:cs="Times New Roman"/>
          <w:sz w:val="28"/>
          <w:szCs w:val="28"/>
        </w:rPr>
        <w:t xml:space="preserve"> к генерированию, осмыслению и доведению до конечной реализации предлагаемых инноваций.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114F62" w:rsidRPr="00114F62" w:rsidRDefault="00114F62" w:rsidP="00114F62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F62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753B00" w:rsidRPr="00753B00" w:rsidTr="00A203B8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753B00" w:rsidRPr="00753B00" w:rsidTr="00A203B8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75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50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30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25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 w:rsidR="0036726A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</w:t>
            </w:r>
            <w:bookmarkStart w:id="0" w:name="_GoBack"/>
            <w:bookmarkEnd w:id="0"/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4F62" w:rsidRPr="00114F62" w:rsidRDefault="00114F62" w:rsidP="00114F62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F62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1020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985"/>
      </w:tblGrid>
      <w:tr w:rsidR="00114F62" w:rsidRPr="00114F62" w:rsidTr="00114F62">
        <w:trPr>
          <w:trHeight w:val="460"/>
        </w:trPr>
        <w:tc>
          <w:tcPr>
            <w:tcW w:w="8222" w:type="dxa"/>
            <w:vAlign w:val="center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14F62" w:rsidRPr="00114F62" w:rsidTr="00114F62">
        <w:trPr>
          <w:trHeight w:val="285"/>
        </w:trPr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14F62" w:rsidRPr="00114F62" w:rsidTr="00114F62">
        <w:trPr>
          <w:trHeight w:val="338"/>
        </w:trPr>
        <w:tc>
          <w:tcPr>
            <w:tcW w:w="8222" w:type="dxa"/>
            <w:tcBorders>
              <w:bottom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4F62" w:rsidRPr="00114F62" w:rsidTr="00114F62">
        <w:trPr>
          <w:trHeight w:val="238"/>
        </w:trPr>
        <w:tc>
          <w:tcPr>
            <w:tcW w:w="8222" w:type="dxa"/>
            <w:tcBorders>
              <w:top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114F62" w:rsidRPr="00114F62" w:rsidTr="00114F62">
        <w:tc>
          <w:tcPr>
            <w:tcW w:w="10207" w:type="dxa"/>
            <w:gridSpan w:val="2"/>
          </w:tcPr>
          <w:p w:rsidR="00114F62" w:rsidRPr="00114F62" w:rsidRDefault="00114F62" w:rsidP="00114F6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114F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(4 курс), дифференцированный зачет (4 курс)</w:t>
            </w:r>
          </w:p>
        </w:tc>
      </w:tr>
    </w:tbl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53B00" w:rsidRPr="00753B00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2.2 Тематический план и содержание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753B00" w:rsidRPr="00753B00" w:rsidTr="00A203B8"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 xml:space="preserve">самостоятельная работа 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обучающихся</w:t>
            </w:r>
            <w:proofErr w:type="gramEnd"/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753B00" w:rsidRPr="00753B00" w:rsidTr="00A203B8"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53B00" w:rsidRPr="00753B00" w:rsidTr="00A203B8">
        <w:tc>
          <w:tcPr>
            <w:tcW w:w="2605" w:type="dxa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753B00" w:rsidRPr="00753B00" w:rsidTr="00A203B8">
        <w:trPr>
          <w:trHeight w:val="1830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.2, ПК2.3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112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№ 1: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565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2186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.2, ПК2.3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2,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ЛР10, ЛР13,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102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111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№ 2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c>
          <w:tcPr>
            <w:tcW w:w="2605" w:type="dxa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753B00" w:rsidRPr="00753B00" w:rsidTr="00A203B8">
        <w:trPr>
          <w:trHeight w:val="1017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.2, ПК2.3, ПК3.1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69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985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№ 3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440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.2, ПК 2.3 , ПК3.1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933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информационно-управляющей системы АСУ— 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информационно-управляющей системы АСУ— 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мляное полотно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78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№4: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697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2.3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.2, ПК 2.3 , ПК3.1, ПК 4.1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917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рельсо</w:t>
            </w:r>
            <w:proofErr w:type="spell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шпало</w:t>
            </w:r>
            <w:proofErr w:type="spellEnd"/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098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№ 5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500"/>
        </w:trPr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423"/>
        </w:trPr>
        <w:tc>
          <w:tcPr>
            <w:tcW w:w="15188" w:type="dxa"/>
            <w:gridSpan w:val="4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– </w:t>
      </w:r>
      <w:proofErr w:type="gramStart"/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ознакомительный</w:t>
      </w:r>
      <w:proofErr w:type="gramEnd"/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(узнавание ранее изученных объектов, свойств);</w:t>
      </w:r>
    </w:p>
    <w:p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– </w:t>
      </w:r>
      <w:proofErr w:type="gramStart"/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репродуктивный</w:t>
      </w:r>
      <w:proofErr w:type="gramEnd"/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(выполнение деятельности по образцу, инструкции или под руководством)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proofErr w:type="gramStart"/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  <w:proofErr w:type="gramEnd"/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sectPr w:rsidR="00753B00" w:rsidRPr="00753B00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br/>
      </w:r>
    </w:p>
    <w:p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Учебная дисциплина ОП.08 Информационные технологии в профессиональной деятельности реализуется в учебном кабинете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посадочные места по количеству 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:rsidR="00753B00" w:rsidRPr="00753B00" w:rsidRDefault="00753B00" w:rsidP="00753B00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753B0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753B00" w:rsidRPr="00753B00" w:rsidRDefault="00753B00" w:rsidP="00753B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Прохорский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>, 2020. — 271 с. — ISBN 978-5-406-01669-5. — URL: https://book.ru/book/936664. — Текст: электронный. – Режим доступа: https://book.ru/books/936664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2. Филимонова, Е.В. 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>, 2019. — 482 с. — (СПО). — ISBN 978-5-406-06532-7. — URL: https://book.ru/book/929468. — Текст: электронный. Режим доступа: https://www.book.ru/book/929468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 xml:space="preserve">3. 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</w:rPr>
        <w:t>, 2021. — 482 с. — ISBN 978-5-406-03029-5. — URL: https://book.ru/book/936307. — Текст: электронный. – Режим доступа: https://www.book.ru/book/936307  по паролю.</w:t>
      </w:r>
    </w:p>
    <w:p w:rsidR="00753B00" w:rsidRPr="00753B00" w:rsidRDefault="00753B00" w:rsidP="00753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1.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https://www.book.ru/book/933729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2.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753B00" w:rsidRPr="00753B00" w:rsidRDefault="00753B00" w:rsidP="00753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53B00" w:rsidRPr="00753B00" w:rsidRDefault="00753B00" w:rsidP="00753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53B00" w:rsidRPr="00753B00" w:rsidRDefault="00753B00" w:rsidP="00753B00">
      <w:pPr>
        <w:suppressAutoHyphens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3.2.3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Периодические издания: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Путь и путевое хозяйство [Текст]: ежемесячный журнал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Транспорт России [Текст]: всероссийская транспортная еженедельная информационно-аналитическая газета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3B00" w:rsidRPr="00753B00" w:rsidRDefault="00753B00" w:rsidP="00753B00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Контрольиоценка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результатовосвоенияучебнойдисциплиныосуществляетсяпреподавателем в процессе проведения теоретических, практических занятий, тестирования, а также </w:t>
      </w:r>
      <w:proofErr w:type="spellStart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выполненияобучающимисяиндивидуальныхзаданий</w:t>
      </w:r>
      <w:proofErr w:type="spell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(подготовки сообщений и презентаций).</w:t>
      </w:r>
    </w:p>
    <w:p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Промежуточная аттестация в форме контрольной работы (8 семестр) по очной форме обучения и в форме дифференцированного зачета на 4 курсе </w:t>
      </w:r>
      <w:proofErr w:type="gramStart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</w:t>
      </w:r>
      <w:proofErr w:type="gramEnd"/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заочной форме обучения.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 xml:space="preserve">(У, 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З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753B00" w:rsidRPr="00753B00" w:rsidTr="00A203B8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:rsidTr="00A203B8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 использовать изученные прикладные программные средства</w:t>
            </w:r>
          </w:p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proofErr w:type="gramStart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2, ПК1.2, ПК2.3, ПК3.1, ПК4.1, ЛР 4, ЛР10, 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753B00" w:rsidRPr="00753B00" w:rsidTr="00A203B8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:rsidTr="00A203B8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 основные понятия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proofErr w:type="gramStart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2, ПК1.2, ПК2.3, ПК3.1, ПК4.1, ЛР 4, ЛР10, 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</w:t>
            </w:r>
            <w:proofErr w:type="gramStart"/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2,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 знаний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(ЭВМ)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З3.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 системные программные продукты и пакеты прикладных программ.</w:t>
            </w:r>
          </w:p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</w:t>
            </w:r>
            <w:proofErr w:type="gramEnd"/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2,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5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чтение и опрос.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:rsidR="005317ED" w:rsidRDefault="0036726A"/>
    <w:sectPr w:rsidR="005317ED" w:rsidSect="0093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D8" w:rsidRDefault="00CF77D8" w:rsidP="0093069C">
      <w:pPr>
        <w:spacing w:after="0" w:line="240" w:lineRule="auto"/>
      </w:pPr>
      <w:r>
        <w:separator/>
      </w:r>
    </w:p>
  </w:endnote>
  <w:endnote w:type="continuationSeparator" w:id="0">
    <w:p w:rsidR="00CF77D8" w:rsidRDefault="00CF77D8" w:rsidP="0093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29307"/>
      <w:docPartObj>
        <w:docPartGallery w:val="Page Numbers (Bottom of Page)"/>
        <w:docPartUnique/>
      </w:docPartObj>
    </w:sdtPr>
    <w:sdtEndPr/>
    <w:sdtContent>
      <w:p w:rsidR="00753B00" w:rsidRDefault="0086739B">
        <w:pPr>
          <w:pStyle w:val="a3"/>
          <w:jc w:val="center"/>
        </w:pPr>
        <w:r>
          <w:fldChar w:fldCharType="begin"/>
        </w:r>
        <w:r w:rsidR="00753B00">
          <w:instrText>PAGE   \* MERGEFORMAT</w:instrText>
        </w:r>
        <w:r>
          <w:fldChar w:fldCharType="separate"/>
        </w:r>
        <w:r w:rsidR="003672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3B00" w:rsidRDefault="00753B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00" w:rsidRDefault="00753B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659282"/>
      <w:docPartObj>
        <w:docPartGallery w:val="Page Numbers (Bottom of Page)"/>
        <w:docPartUnique/>
      </w:docPartObj>
    </w:sdtPr>
    <w:sdtEndPr/>
    <w:sdtContent>
      <w:p w:rsidR="00753B00" w:rsidRDefault="0086739B">
        <w:pPr>
          <w:pStyle w:val="a3"/>
          <w:jc w:val="center"/>
        </w:pPr>
        <w:r>
          <w:fldChar w:fldCharType="begin"/>
        </w:r>
        <w:r w:rsidR="00753B00">
          <w:instrText>PAGE   \* MERGEFORMAT</w:instrText>
        </w:r>
        <w:r>
          <w:fldChar w:fldCharType="separate"/>
        </w:r>
        <w:r w:rsidR="0036726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53B00" w:rsidRDefault="00753B0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00" w:rsidRDefault="00753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D8" w:rsidRDefault="00CF77D8" w:rsidP="0093069C">
      <w:pPr>
        <w:spacing w:after="0" w:line="240" w:lineRule="auto"/>
      </w:pPr>
      <w:r>
        <w:separator/>
      </w:r>
    </w:p>
  </w:footnote>
  <w:footnote w:type="continuationSeparator" w:id="0">
    <w:p w:rsidR="00CF77D8" w:rsidRDefault="00CF77D8" w:rsidP="0093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B00"/>
    <w:rsid w:val="00114F62"/>
    <w:rsid w:val="002022A6"/>
    <w:rsid w:val="0036726A"/>
    <w:rsid w:val="00406446"/>
    <w:rsid w:val="00753B00"/>
    <w:rsid w:val="007C059E"/>
    <w:rsid w:val="0086739B"/>
    <w:rsid w:val="008B67BB"/>
    <w:rsid w:val="0093069C"/>
    <w:rsid w:val="00BD703C"/>
    <w:rsid w:val="00C41D67"/>
    <w:rsid w:val="00CF77D8"/>
    <w:rsid w:val="00F2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B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753B0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75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2515</Words>
  <Characters>14341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СОДЕРЖАНИЕ</vt:lpstr>
      <vt:lpstr>        </vt:lpstr>
      <vt:lpstr>2.2 Тематический план и содержание учебной дисциплины</vt:lpstr>
      <vt:lpstr>3. условия реализации УЧЕБНОЙ дисциплины</vt:lpstr>
      <vt:lpstr>4. Контроль и оценка результатов освоения УЧЕБНОЙ Дисциплины</vt:lpstr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МетодКабинет-2</cp:lastModifiedBy>
  <cp:revision>7</cp:revision>
  <dcterms:created xsi:type="dcterms:W3CDTF">2023-12-14T18:01:00Z</dcterms:created>
  <dcterms:modified xsi:type="dcterms:W3CDTF">2024-06-10T06:22:00Z</dcterms:modified>
</cp:coreProperties>
</file>