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Pr="00132B0E">
        <w:rPr>
          <w:rStyle w:val="2"/>
          <w:color w:val="FF0000"/>
        </w:rPr>
        <w:t>9.3.</w:t>
      </w:r>
      <w:r w:rsidR="003B039B" w:rsidRPr="00132B0E">
        <w:rPr>
          <w:rStyle w:val="2"/>
          <w:color w:val="FF0000"/>
        </w:rPr>
        <w:t>26</w:t>
      </w:r>
    </w:p>
    <w:p w:rsidR="0023778E" w:rsidRPr="003E229C" w:rsidRDefault="0090730A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</w:p>
    <w:p w:rsidR="009C0F0C" w:rsidRP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  <w:r w:rsidRPr="009C0F0C">
        <w:rPr>
          <w:rStyle w:val="2"/>
          <w:bCs w:val="0"/>
          <w:color w:val="000000"/>
        </w:rPr>
        <w:t>УП.02.01 УЧЕБНАЯ ПРАКТИКА (управление движением)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9C0F0C" w:rsidRPr="003E229C">
        <w:rPr>
          <w:rStyle w:val="2"/>
          <w:color w:val="000000"/>
        </w:rPr>
        <w:t>УП.02.01 Учебная практика (управление движением)</w:t>
      </w:r>
      <w:r w:rsidR="009C0F0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C0F0C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9C0F0C">
        <w:rPr>
          <w:rStyle w:val="2"/>
          <w:i/>
        </w:rPr>
        <w:t>Организация сервисного обслуживания на транспорте (по видам транспорта)</w:t>
      </w:r>
      <w:r w:rsidR="009C0F0C">
        <w:rPr>
          <w:rStyle w:val="2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9C0F0C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9C0F0C" w:rsidRPr="003E229C" w:rsidRDefault="009C0F0C" w:rsidP="009C0F0C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6A4AD7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B927AC" w:rsidRPr="00B927AC" w:rsidRDefault="0023778E" w:rsidP="00B927AC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B927AC">
        <w:rPr>
          <w:rStyle w:val="2"/>
          <w:color w:val="000000"/>
        </w:rPr>
        <w:t xml:space="preserve">Всего - </w:t>
      </w:r>
      <w:r w:rsidR="0023278A" w:rsidRPr="00B927AC">
        <w:rPr>
          <w:rStyle w:val="2"/>
          <w:color w:val="000000"/>
        </w:rPr>
        <w:t>108 часов</w:t>
      </w:r>
      <w:r w:rsidR="00B927AC" w:rsidRPr="00B927AC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B927AC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B927AC">
        <w:rPr>
          <w:rStyle w:val="20"/>
          <w:b/>
          <w:bCs/>
          <w:color w:val="000000"/>
        </w:rPr>
        <w:t>Ю</w:t>
      </w:r>
    </w:p>
    <w:p w:rsidR="000F5848" w:rsidRDefault="000F5848" w:rsidP="000F5848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2D4054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p w:rsidR="00B927AC" w:rsidRPr="009A1C98" w:rsidRDefault="00B927AC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</w:t>
            </w:r>
            <w:proofErr w:type="gramStart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рассредоточено</w:t>
            </w:r>
            <w:proofErr w:type="gramEnd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 w:rsidRPr="00F55CEA">
              <w:rPr>
                <w:rStyle w:val="2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 xml:space="preserve">приему,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рабочего </w:t>
            </w:r>
            <w:r>
              <w:rPr>
                <w:rStyle w:val="fontstyle01"/>
              </w:rPr>
              <w:lastRenderedPageBreak/>
              <w:t>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600367">
        <w:tc>
          <w:tcPr>
            <w:tcW w:w="671" w:type="dxa"/>
            <w:vMerge w:val="restart"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и рабочих </w:t>
            </w:r>
            <w:r>
              <w:rPr>
                <w:rStyle w:val="fontstyle01"/>
              </w:rPr>
              <w:lastRenderedPageBreak/>
              <w:t>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журнал движения и </w:t>
            </w:r>
            <w:proofErr w:type="gramStart"/>
            <w:r>
              <w:rPr>
                <w:rStyle w:val="fontstyle01"/>
              </w:rPr>
              <w:t>на</w:t>
            </w:r>
            <w:proofErr w:type="gram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ГИД</w:t>
            </w:r>
            <w:proofErr w:type="gramEnd"/>
            <w:r>
              <w:rPr>
                <w:rStyle w:val="fontstyle01"/>
              </w:rPr>
              <w:t>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F55CEA">
        <w:tc>
          <w:tcPr>
            <w:tcW w:w="671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D4054" w:rsidRDefault="002D4054" w:rsidP="002D4054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 xml:space="preserve">УП.02.01 Учебная практика (управление движением) </w:t>
      </w:r>
    </w:p>
    <w:p w:rsidR="002D4054" w:rsidRPr="0083298E" w:rsidRDefault="002D4054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в управлении движением поездов.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B927AC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  <w:highlight w:val="yellow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5F7B40" w:rsidRDefault="006D6F16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учебной практики </w:t>
      </w:r>
      <w:r w:rsidRPr="006D6F16">
        <w:rPr>
          <w:rStyle w:val="2"/>
          <w:color w:val="000000"/>
        </w:rPr>
        <w:t>УП.02.01. Учебная практика (управление движением)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проводится концентрированно, после изучения </w:t>
      </w:r>
      <w:r w:rsidRPr="006D6F16">
        <w:rPr>
          <w:rStyle w:val="2"/>
          <w:color w:val="000000"/>
        </w:rPr>
        <w:t>МДК.02.01. Организация движения (по видам транспорта)</w:t>
      </w:r>
      <w:r w:rsidRPr="003E229C">
        <w:rPr>
          <w:rStyle w:val="2"/>
          <w:color w:val="000000"/>
        </w:rPr>
        <w:t xml:space="preserve"> в рамках профессионального модуля </w:t>
      </w: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транспорта). Обязательным условием допуска к учебной практике является освоение ОП.08. Станции и узлы, ОП.09. Техническая эксплуатация железных дорог и безопасность движения, ОП.10.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самостоятельный поиск необходимой информации;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количественных и качественных показателей работы железнодорожного транспорта;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построения графика движения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оптимального варианта плана формирования грузовых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расчет показателей плана формирования грузовых поездов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действующих положений по организации грузовых и пассажирских перевозок;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требований безопасности при построении графика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оформление перевозок пассажиров и багажа;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умение пользоваться планом формирования грузовых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анализа эксплуатационной работы;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79" w:rsidRDefault="003A127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3A1279" w:rsidRDefault="003A1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79" w:rsidRDefault="003A127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3A1279" w:rsidRDefault="003A1279">
      <w:r>
        <w:continuationSeparator/>
      </w:r>
    </w:p>
  </w:footnote>
  <w:footnote w:id="1">
    <w:p w:rsidR="009C0F0C" w:rsidRDefault="009C0F0C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32B0E"/>
    <w:rsid w:val="0014541D"/>
    <w:rsid w:val="00153C58"/>
    <w:rsid w:val="001569D2"/>
    <w:rsid w:val="00162762"/>
    <w:rsid w:val="001A6C04"/>
    <w:rsid w:val="001D1E61"/>
    <w:rsid w:val="001F2846"/>
    <w:rsid w:val="001F78C8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D4054"/>
    <w:rsid w:val="00300F5B"/>
    <w:rsid w:val="00302BAD"/>
    <w:rsid w:val="00364521"/>
    <w:rsid w:val="00370CD9"/>
    <w:rsid w:val="003A127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545254"/>
    <w:rsid w:val="005755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2B3E"/>
    <w:rsid w:val="00692767"/>
    <w:rsid w:val="006A4AD7"/>
    <w:rsid w:val="006D6F16"/>
    <w:rsid w:val="006E3ACB"/>
    <w:rsid w:val="006E63FC"/>
    <w:rsid w:val="006F10D5"/>
    <w:rsid w:val="00735194"/>
    <w:rsid w:val="00754049"/>
    <w:rsid w:val="00772478"/>
    <w:rsid w:val="007769C1"/>
    <w:rsid w:val="007D6F13"/>
    <w:rsid w:val="007F6DF2"/>
    <w:rsid w:val="0083298E"/>
    <w:rsid w:val="008630CF"/>
    <w:rsid w:val="00890AFA"/>
    <w:rsid w:val="008A3854"/>
    <w:rsid w:val="008A67C6"/>
    <w:rsid w:val="008B18D6"/>
    <w:rsid w:val="008C6EFC"/>
    <w:rsid w:val="008D30A9"/>
    <w:rsid w:val="008F6D8E"/>
    <w:rsid w:val="0090730A"/>
    <w:rsid w:val="00914731"/>
    <w:rsid w:val="009429A2"/>
    <w:rsid w:val="009A1C98"/>
    <w:rsid w:val="009A5E69"/>
    <w:rsid w:val="009B12E4"/>
    <w:rsid w:val="009C0F0C"/>
    <w:rsid w:val="009E0735"/>
    <w:rsid w:val="009E7DC6"/>
    <w:rsid w:val="00A06B1F"/>
    <w:rsid w:val="00A103D8"/>
    <w:rsid w:val="00A2304F"/>
    <w:rsid w:val="00A51B66"/>
    <w:rsid w:val="00AB21D2"/>
    <w:rsid w:val="00AD4E06"/>
    <w:rsid w:val="00AE41DD"/>
    <w:rsid w:val="00AE464B"/>
    <w:rsid w:val="00AF1AC8"/>
    <w:rsid w:val="00B3506A"/>
    <w:rsid w:val="00B927AC"/>
    <w:rsid w:val="00BA085C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01CE6"/>
    <w:rsid w:val="00D65F4A"/>
    <w:rsid w:val="00D72246"/>
    <w:rsid w:val="00D80013"/>
    <w:rsid w:val="00DC6258"/>
    <w:rsid w:val="00DD6E65"/>
    <w:rsid w:val="00DE410C"/>
    <w:rsid w:val="00DF7293"/>
    <w:rsid w:val="00E35443"/>
    <w:rsid w:val="00E87028"/>
    <w:rsid w:val="00EB42BA"/>
    <w:rsid w:val="00EF0682"/>
    <w:rsid w:val="00F0099B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10</cp:revision>
  <cp:lastPrinted>2023-04-11T13:11:00Z</cp:lastPrinted>
  <dcterms:created xsi:type="dcterms:W3CDTF">2023-04-14T09:07:00Z</dcterms:created>
  <dcterms:modified xsi:type="dcterms:W3CDTF">2024-08-29T07:25:00Z</dcterms:modified>
</cp:coreProperties>
</file>