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Приложение 9.3.</w:t>
      </w:r>
      <w:r w:rsidR="00E607CC" w:rsidRPr="00B85772">
        <w:rPr>
          <w:rFonts w:ascii="Times New Roman" w:hAnsi="Times New Roman" w:cs="Times New Roman"/>
          <w:sz w:val="24"/>
          <w:szCs w:val="24"/>
        </w:rPr>
        <w:t>23</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235C05">
        <w:rPr>
          <w:rFonts w:ascii="Times New Roman" w:hAnsi="Times New Roman" w:cs="Times New Roman"/>
          <w:b/>
          <w:i/>
          <w:sz w:val="24"/>
          <w:szCs w:val="24"/>
        </w:rPr>
        <w:t>2</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Шапенкова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8570C1">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8570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8570C1">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ПО1</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У1</w:t>
      </w:r>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З1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r w:rsidR="00CA5FB5" w:rsidRPr="00B85772">
        <w:rPr>
          <w:rFonts w:ascii="Times New Roman" w:hAnsi="Times New Roman" w:cs="Times New Roman"/>
          <w:sz w:val="24"/>
          <w:szCs w:val="24"/>
        </w:rPr>
        <w:t xml:space="preserve">2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З4</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З6</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З7</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Способный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Умеющий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3333F1">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подгорочных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8570C1" w:rsidRPr="00B85772" w:rsidRDefault="008570C1"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70C1" w:rsidRPr="00B85772" w:rsidTr="00CF30FD">
        <w:trPr>
          <w:trHeight w:val="360"/>
        </w:trPr>
        <w:tc>
          <w:tcPr>
            <w:tcW w:w="12441" w:type="dxa"/>
            <w:gridSpan w:val="5"/>
          </w:tcPr>
          <w:p w:rsidR="008570C1" w:rsidRPr="00055C41" w:rsidRDefault="008570C1"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курбелем в условиях нарушения работы устройств СЦБ.</w:t>
            </w:r>
          </w:p>
          <w:p w:rsidR="008570C1" w:rsidRPr="00A047F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Подача звуковых и видимых сигналов при выполнении работ по переводу централизованных стрелок курбелем в условиях нарушения работы устройств СЦБ.</w:t>
            </w:r>
          </w:p>
          <w:p w:rsidR="008570C1" w:rsidRPr="00B85772" w:rsidRDefault="008570C1"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70C1" w:rsidRPr="00B85772" w:rsidRDefault="008570C1"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895EAC" w:rsidRPr="00B85772" w:rsidRDefault="00895EAC" w:rsidP="00895EAC">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учебных изданий, дополнительной литературы Интернет-ресурсов, базы данных библиотечного фонда:</w:t>
      </w:r>
    </w:p>
    <w:p w:rsidR="00895EAC" w:rsidRPr="00B85772" w:rsidRDefault="00895EAC" w:rsidP="00895EAC">
      <w:pPr>
        <w:shd w:val="clear" w:color="auto" w:fill="FFFFFF"/>
        <w:spacing w:after="0" w:line="240" w:lineRule="auto"/>
        <w:ind w:firstLine="709"/>
        <w:jc w:val="both"/>
        <w:rPr>
          <w:rFonts w:ascii="Times New Roman" w:hAnsi="Times New Roman" w:cs="Times New Roman"/>
          <w:b/>
          <w:color w:val="000000"/>
          <w:sz w:val="24"/>
          <w:szCs w:val="24"/>
        </w:rPr>
      </w:pPr>
    </w:p>
    <w:p w:rsidR="00895EAC" w:rsidRPr="00E31141"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895EAC" w:rsidRPr="00E31141"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895EAC" w:rsidRPr="008E01BF" w:rsidRDefault="00895EAC" w:rsidP="00895EAC">
      <w:pPr>
        <w:pStyle w:val="a3"/>
        <w:widowControl w:val="0"/>
        <w:numPr>
          <w:ilvl w:val="0"/>
          <w:numId w:val="24"/>
        </w:numPr>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8E01BF">
        <w:rPr>
          <w:rFonts w:ascii="Times New Roman" w:hAnsi="Times New Roman" w:cs="Times New Roman"/>
          <w:color w:val="000000"/>
          <w:sz w:val="24"/>
          <w:szCs w:val="24"/>
        </w:rPr>
        <w:t>Кудрявцева, Л.Н. Технология перевозочного процесса на железнодорожном транспорте : / Л. Н. Кудрявцева. — Москва : УМЦ ЖДТ, 2024. — 288 с. — 978-5-907695-41-2. — Текст : электронный // УМЦ ЖДТ : электронная библиотека. — URL: </w:t>
      </w:r>
      <w:hyperlink r:id="rId10" w:history="1">
        <w:r w:rsidRPr="008E01BF">
          <w:rPr>
            <w:rFonts w:ascii="Times New Roman" w:hAnsi="Times New Roman" w:cs="Times New Roman"/>
            <w:color w:val="000000"/>
            <w:sz w:val="24"/>
            <w:szCs w:val="24"/>
          </w:rPr>
          <w:t>https://umczdt.ru/books/1196/290006/</w:t>
        </w:r>
      </w:hyperlink>
      <w:r w:rsidRPr="008E01BF">
        <w:rPr>
          <w:rFonts w:ascii="Times New Roman" w:hAnsi="Times New Roman" w:cs="Times New Roman"/>
          <w:color w:val="000000"/>
          <w:sz w:val="24"/>
          <w:szCs w:val="24"/>
        </w:rPr>
        <w:t> (дата обращения 27.02.2025). — Режим доступа: по подписке.</w:t>
      </w:r>
    </w:p>
    <w:p w:rsidR="00895EAC" w:rsidRPr="008C7810"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0F1A08">
        <w:rPr>
          <w:rFonts w:ascii="Times New Roman" w:hAnsi="Times New Roman" w:cs="Times New Roman"/>
          <w:color w:val="000000"/>
          <w:sz w:val="24"/>
          <w:szCs w:val="24"/>
        </w:rPr>
        <w:t>2.</w:t>
      </w:r>
      <w:r w:rsidRPr="000F1A08">
        <w:rPr>
          <w:rFonts w:ascii="Times New Roman" w:hAnsi="Times New Roman" w:cs="Times New Roman"/>
          <w:color w:val="000000"/>
          <w:sz w:val="24"/>
          <w:szCs w:val="24"/>
        </w:rPr>
        <w:tab/>
        <w:t>Боровикова, М.С. Управление перевозочным процессом на железнодорожном транспорте : учебник / М. С. Боровикова. — Москва : ФГБУ ДПО «Учебно методический центр по образованию на железнодорожном транспорте», 2021. — 552 с. — 978-5-907206-71-7. — Текст : электронный // УМЦ ЖДТ : электронная библиотека. — URL: https://umczdt.ru/books/1196/251714/.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t>3. Рукина, А.М. Технология перевозочного процесса на железнодорожном транспорте : учебное пособие / А. М. Рукина. — Москва : УМЦ ЖДТ, 2023. — 272 с. — 978-5-907479-94-4. — Текст : электронный // УМЦ ЖДТ : электронная библиотека. — URL: </w:t>
      </w:r>
      <w:hyperlink r:id="rId11" w:history="1">
        <w:r w:rsidRPr="00F23DC2">
          <w:rPr>
            <w:rFonts w:ascii="Times New Roman" w:hAnsi="Times New Roman" w:cs="Times New Roman"/>
            <w:color w:val="000000"/>
            <w:sz w:val="24"/>
            <w:szCs w:val="24"/>
          </w:rPr>
          <w:t>https://umczdt.ru/books/1197/280411/</w:t>
        </w:r>
      </w:hyperlink>
      <w:r w:rsidRPr="00F23DC2">
        <w:rPr>
          <w:rFonts w:ascii="Times New Roman" w:hAnsi="Times New Roman" w:cs="Times New Roman"/>
          <w:color w:val="000000"/>
          <w:sz w:val="24"/>
          <w:szCs w:val="24"/>
        </w:rPr>
        <w:t xml:space="preserve">. — Режим доступа: по подписке. </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23DC2">
        <w:rPr>
          <w:rFonts w:ascii="Times New Roman" w:hAnsi="Times New Roman" w:cs="Times New Roman"/>
          <w:color w:val="000000"/>
          <w:sz w:val="24"/>
          <w:szCs w:val="24"/>
        </w:rPr>
        <w:lastRenderedPageBreak/>
        <w:t>4. Ермакова, Т.А. Технология перевозочного процесса : учебное пособие / Т. А. Ермакова. — Москва : ФГБУ ДПО «Учебно-методический центр по образованию на железнодорожном транспорте», 2019. — 334 с. — 978-5-907055-48-3. — Текст : электронный // УМЦ ЖДТ : электронная библиотека. — URL: </w:t>
      </w:r>
      <w:hyperlink r:id="rId12" w:history="1">
        <w:r w:rsidRPr="00F23DC2">
          <w:rPr>
            <w:rFonts w:ascii="Times New Roman" w:hAnsi="Times New Roman" w:cs="Times New Roman"/>
            <w:color w:val="000000"/>
            <w:sz w:val="24"/>
            <w:szCs w:val="24"/>
          </w:rPr>
          <w:t>https://umczdt.ru/books/1196/230310/</w:t>
        </w:r>
      </w:hyperlink>
      <w:r w:rsidRPr="00F23DC2">
        <w:rPr>
          <w:rFonts w:ascii="Times New Roman" w:hAnsi="Times New Roman" w:cs="Times New Roman"/>
          <w:color w:val="000000"/>
          <w:sz w:val="24"/>
          <w:szCs w:val="24"/>
        </w:rPr>
        <w:t>. — Режим доступа: по подписке.</w:t>
      </w:r>
    </w:p>
    <w:p w:rsidR="00895EAC" w:rsidRPr="000F1A0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0F1A08">
        <w:rPr>
          <w:rFonts w:ascii="Times New Roman" w:hAnsi="Times New Roman" w:cs="Times New Roman"/>
          <w:b/>
          <w:color w:val="000000"/>
          <w:sz w:val="24"/>
          <w:szCs w:val="24"/>
        </w:rPr>
        <w:t>Дополнительные источники:</w:t>
      </w:r>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 ; приложен. № 1 к Правилам технической эксплуатации железных дорог Российской Федерации. - Текст : электронный // КонсультантПлюс</w:t>
      </w:r>
    </w:p>
    <w:p w:rsidR="00895EAC" w:rsidRPr="000F1A0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F1A08">
        <w:rPr>
          <w:rFonts w:ascii="Times New Roman" w:hAnsi="Times New Roman" w:cs="Times New Roman"/>
          <w:color w:val="000000"/>
          <w:sz w:val="24"/>
          <w:szCs w:val="24"/>
        </w:rPr>
        <w:t>.</w:t>
      </w:r>
      <w:r w:rsidRPr="000F1A08">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895EAC" w:rsidRPr="00F23DC2"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sz w:val="24"/>
          <w:szCs w:val="24"/>
        </w:rPr>
      </w:pPr>
      <w:r w:rsidRPr="00F23DC2">
        <w:rPr>
          <w:rFonts w:ascii="Times New Roman" w:hAnsi="Times New Roman" w:cs="Times New Roman"/>
          <w:b/>
          <w:sz w:val="24"/>
          <w:szCs w:val="24"/>
        </w:rPr>
        <w:t>Методическое обеспечение: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Быкова, О.В.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02.01 Организация движения на железнодорожном транспорте : методическое пособие / О. В. Быкова. — Москва : ФГБУ ДПО «Учебно методический центр по образованию на железнодорожном транспорте», 2020. — 128 с. — Текст : электронный // УМЦ ЖДТ : электронная библиотека. — URL: https://umczdt.ru/books/1258/239483/.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Мельникова, М.А. Методические указания по выполнению практических занятий по учебной практике МДК 02.01 Организация движения на железнодорожном транспорте : методическое пособие / М. А. Мельникова. — Москва : ФГБУ ДПО «Учебно методический центр по образованию на железнодорожном транспорте», 2020. — 64 с. — Текст : электронный // УМЦ ЖДТ : электронная библиотека. — URL: https://umczdt.ru/books/1258/239491/.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F23DC2">
        <w:rPr>
          <w:rFonts w:ascii="Times New Roman" w:hAnsi="Times New Roman" w:cs="Times New Roman"/>
          <w:color w:val="000000"/>
          <w:sz w:val="24"/>
          <w:szCs w:val="24"/>
        </w:rPr>
        <w:t>.</w:t>
      </w:r>
      <w:r w:rsidRPr="00F23DC2">
        <w:rPr>
          <w:rFonts w:ascii="Times New Roman" w:hAnsi="Times New Roman" w:cs="Times New Roman"/>
          <w:color w:val="000000"/>
          <w:sz w:val="24"/>
          <w:szCs w:val="24"/>
        </w:rPr>
        <w:tab/>
        <w:t>Ишутина, Г.А. Организация движения поездов на участках региона железной дороги : методическое пособие по выполнению дипломного проекта : методическое пособие / Г. А. Ишутина. — Москва : ФГБУ ДПО «Учебно-методический центр по образованию на железнодорожном транспорте», 2021. — 72 с. — Текст : электронный // УМЦ ЖДТ : электронная библиотека. — URL: https://umczdt.ru/books/1258/251409/.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F23DC2">
        <w:rPr>
          <w:rFonts w:ascii="Times New Roman" w:hAnsi="Times New Roman" w:cs="Times New Roman"/>
          <w:color w:val="000000"/>
          <w:sz w:val="24"/>
          <w:szCs w:val="24"/>
        </w:rPr>
        <w:t>Девятов, Д.М. Методические рекомендации по использованию тренажерных комплексов ДНЦ/ДСП при проведении практических занятий учебной практики МДК 02.01 Организация движения на железнодорожном транспорте : методическое пособие / Д. М. Девятов. — Москва : УМЦ ЖДТ, 2023. — 72 с. — Текст : электронный // УМЦ ЖДТ : электронная библиотека. — URL: https://umczdt.ru/books/1258/280013/. — Режим доступа: по подписке.</w:t>
      </w: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F23DC2">
        <w:rPr>
          <w:rFonts w:ascii="Times New Roman" w:hAnsi="Times New Roman" w:cs="Times New Roman"/>
          <w:color w:val="000000"/>
          <w:sz w:val="24"/>
          <w:szCs w:val="24"/>
        </w:rPr>
        <w:t>Выжимова, Л.А. Методические рекомендации по использованию игровых интерактивных технологий в учебном процессе МДК 01.01 Технология перевозочного процесса (по видам транспорта), МДК 02.01 Организация движения на железнодорожном транспорте : / Л. А. Выжимова. — Москва : УМЦ ЖДТ, 2022. — 96 с. — Текст : электронный // УМЦ ЖДТ : электронная библиотека. — URL: https://umczdt.ru/books/1258/260601/.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Pr="008E01BF"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highlight w:val="yellow"/>
        </w:rPr>
      </w:pPr>
    </w:p>
    <w:p w:rsidR="00895EAC" w:rsidRPr="00F23DC2"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F23DC2">
        <w:rPr>
          <w:rFonts w:ascii="Times New Roman" w:hAnsi="Times New Roman" w:cs="Times New Roman"/>
          <w:b/>
          <w:color w:val="000000"/>
          <w:sz w:val="24"/>
          <w:szCs w:val="24"/>
          <w:u w:val="single"/>
        </w:rPr>
        <w:lastRenderedPageBreak/>
        <w:t>МДК.02.02. Организация пассажирских перевозок и обслуживание пассажиров (по видам транспорта)</w:t>
      </w:r>
    </w:p>
    <w:p w:rsidR="00895EAC" w:rsidRPr="00FD0EF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FD0EF8">
        <w:rPr>
          <w:rFonts w:ascii="Times New Roman" w:hAnsi="Times New Roman" w:cs="Times New Roman"/>
          <w:b/>
          <w:color w:val="000000"/>
          <w:sz w:val="24"/>
          <w:szCs w:val="24"/>
        </w:rPr>
        <w:t>Основные источники:</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D0EF8">
        <w:rPr>
          <w:rFonts w:ascii="Times New Roman" w:hAnsi="Times New Roman" w:cs="Times New Roman"/>
          <w:color w:val="000000"/>
          <w:sz w:val="24"/>
          <w:szCs w:val="24"/>
        </w:rPr>
        <w:t>1.</w:t>
      </w:r>
      <w:r w:rsidRPr="00FD0EF8">
        <w:rPr>
          <w:rFonts w:ascii="Times New Roman" w:hAnsi="Times New Roman" w:cs="Times New Roman"/>
          <w:color w:val="000000"/>
          <w:sz w:val="24"/>
          <w:szCs w:val="24"/>
        </w:rPr>
        <w:tab/>
        <w:t>Правила перевозок пассажиров, багажа и грузобагажа железнодорожным транспортом : Приказ Министерства транспорта РФ от 05.09.2022 № 352. - Текст : электронный // КонсультантПлюс - URL : https://www.consultant.ru/document/cons_doc_LAW_430073/</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FD0EF8">
        <w:rPr>
          <w:rFonts w:ascii="Times New Roman" w:hAnsi="Times New Roman" w:cs="Times New Roman"/>
          <w:color w:val="000000"/>
          <w:sz w:val="24"/>
          <w:szCs w:val="24"/>
        </w:rPr>
        <w:t>2.</w:t>
      </w:r>
      <w:r w:rsidRPr="00FD0EF8">
        <w:rPr>
          <w:rFonts w:ascii="Times New Roman" w:hAnsi="Times New Roman" w:cs="Times New Roman"/>
          <w:color w:val="000000"/>
          <w:sz w:val="24"/>
          <w:szCs w:val="24"/>
        </w:rPr>
        <w:tab/>
        <w:t>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Постановление Правительства РФ от 27.05.2021 № 810 (ред. от 22.04.2024). - Текст : электронный // КонсультантПлюс - URL : http://www.consultant.ru/document/cons_doc_LAW_385630/</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FD0EF8">
        <w:rPr>
          <w:rFonts w:ascii="Times New Roman" w:hAnsi="Times New Roman" w:cs="Times New Roman"/>
          <w:color w:val="000000"/>
          <w:sz w:val="24"/>
          <w:szCs w:val="24"/>
        </w:rPr>
        <w:t>.</w:t>
      </w:r>
      <w:r w:rsidRPr="00FD0EF8">
        <w:rPr>
          <w:rFonts w:ascii="Times New Roman" w:hAnsi="Times New Roman" w:cs="Times New Roman"/>
          <w:color w:val="000000"/>
          <w:sz w:val="24"/>
          <w:szCs w:val="24"/>
        </w:rPr>
        <w:tab/>
        <w:t>Чубарова, И. А. Организация пассажирских перевозок : учебное пособие / И. А. Чубарова. — Иркутск : ИрГУПС, 2019. — 112 с. — Текст : электронный // Лань : электронно-библиотечная система. — URL: https://e.lanbook.com/book/157941. — Режим доступа: для авториз. пользователей.</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A096A">
        <w:rPr>
          <w:rFonts w:ascii="Times New Roman" w:hAnsi="Times New Roman" w:cs="Times New Roman"/>
          <w:color w:val="000000"/>
          <w:sz w:val="24"/>
          <w:szCs w:val="24"/>
        </w:rPr>
        <w:t>Чубарова, И.А. Организация пассажирских перевозок : учебное пособие / И. А. Чубарова. — Иркутск : ИрГУПС, 2019. — 112 с. — Текст : электронный // УМЦ ЖДТ : электронная библиотека. — URL: https://umczdt.ru/books/1319/264353/. — Режим доступа: по подписке.</w:t>
      </w:r>
    </w:p>
    <w:p w:rsidR="00895EAC" w:rsidRPr="00FD0EF8"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FD0EF8">
        <w:rPr>
          <w:rFonts w:ascii="Times New Roman" w:hAnsi="Times New Roman" w:cs="Times New Roman"/>
          <w:b/>
          <w:color w:val="000000"/>
          <w:sz w:val="24"/>
          <w:szCs w:val="24"/>
        </w:rPr>
        <w:t>Дополнительные источники:</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Pr="00AA096A">
        <w:rPr>
          <w:rFonts w:ascii="Times New Roman" w:hAnsi="Times New Roman" w:cs="Times New Roman"/>
          <w:sz w:val="24"/>
          <w:szCs w:val="24"/>
        </w:rPr>
        <w:t>.</w:t>
      </w:r>
      <w:r w:rsidRPr="00AA096A">
        <w:rPr>
          <w:rFonts w:ascii="Times New Roman" w:hAnsi="Times New Roman" w:cs="Times New Roman"/>
          <w:sz w:val="24"/>
          <w:szCs w:val="24"/>
        </w:rPr>
        <w:tab/>
        <w:t>Шманев, Т.М. Организация пригородных пассажирских перевозок : / Т. М. Шманев, М. С. Горбунова , О. Д. Покровская. — Москва : УМЦ ЖДТ, 2024. — 216 с. — 978-5-907695-57-3. — Текст : электронный // УМЦ ЖДТ : электронная библиотека. — URL: https://umczdt.ru/books/957/289659/.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AA096A">
        <w:rPr>
          <w:rFonts w:ascii="Times New Roman" w:hAnsi="Times New Roman" w:cs="Times New Roman"/>
          <w:b/>
          <w:color w:val="000000"/>
          <w:sz w:val="24"/>
          <w:szCs w:val="24"/>
        </w:rPr>
        <w:t>Методическое обеспечение: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Агеева, М. М. МДК 02.02 Организация пассажирских перевозок и обслуживание пассажиров (по видам транспорта) : методическое пособие / М. М. Агеева. — Москва : ФГБУ ДПО «Учебно методический центр по образованию на железнодорожном транспорте», 2021. — 113 с. — Текст : электронный // УМЦ ЖДТ : электронная библиотека. — URL: https://umczdt.ru/books/1258/251453/.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AA096A">
        <w:rPr>
          <w:rFonts w:ascii="Times New Roman" w:hAnsi="Times New Roman" w:cs="Times New Roman"/>
          <w:color w:val="000000"/>
          <w:sz w:val="24"/>
          <w:szCs w:val="24"/>
        </w:rPr>
        <w:t>. Стефанович, М.В. Методическое пособие по выполнению практических работ ПМ. 02 Организация сервисного обслуживания на транспорте (по видам транспорта) : методическое пособие / М. В. Стефанович. — Хабаровск : ДвГУПС, 2021. — 63 с. — Текст : электронный // УМЦ ЖДТ : электронная библиотека. — URL: https://umczdt.ru/books/968/264974/. — Режим доступа: по подписке.</w:t>
      </w:r>
    </w:p>
    <w:p w:rsidR="00895EAC" w:rsidRPr="00AA096A"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Воронина, С. А. ФОС МДК 02.02 Организация пассажирских перевозок и обслуживание пассажиров : методическое пособие / С. А. Воронина. — Москва : ФГБУ ДПО «Учебно-методический центр по образованию на железнодорожном транспорте», 2019. — 72 с. — Текст : электронный // УМЦ ЖДТ : электронная библиотека. — URL: https://umczdt.ru/books/1265/235834/. — Режим доступа: по подписке.</w:t>
      </w:r>
    </w:p>
    <w:p w:rsidR="00895EAC" w:rsidRPr="00FD0EF8"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AA096A">
        <w:rPr>
          <w:rFonts w:ascii="Times New Roman" w:hAnsi="Times New Roman" w:cs="Times New Roman"/>
          <w:color w:val="000000"/>
          <w:sz w:val="24"/>
          <w:szCs w:val="24"/>
        </w:rPr>
        <w:t>.</w:t>
      </w:r>
      <w:r w:rsidRPr="00AA096A">
        <w:rPr>
          <w:rFonts w:ascii="Times New Roman" w:hAnsi="Times New Roman" w:cs="Times New Roman"/>
          <w:color w:val="000000"/>
          <w:sz w:val="24"/>
          <w:szCs w:val="24"/>
        </w:rPr>
        <w:tab/>
        <w:t xml:space="preserve"> Шаипова, Э. Р. МДК 02.02 Организация пассажирских перевозок и обслуживание</w:t>
      </w:r>
      <w:r w:rsidRPr="00FD0EF8">
        <w:rPr>
          <w:rFonts w:ascii="Times New Roman" w:hAnsi="Times New Roman" w:cs="Times New Roman"/>
          <w:color w:val="000000"/>
          <w:sz w:val="24"/>
          <w:szCs w:val="24"/>
        </w:rPr>
        <w:t xml:space="preserve"> пассажиров (по видам транспорта) : методическое пособие / Э. Р. Шаипова. — Москва : ФГБУ ДПО «Учебно-методический центр по образованию на железнодорожном транспорте», 2019. — 81 с. — Текст : электронный // УМЦ ЖДТ : электронная библиотека. — URL: https://umczdt.ru/books/1258/235837/. — Режим доступа: по подписке.</w:t>
      </w:r>
    </w:p>
    <w:p w:rsidR="00895EAC" w:rsidRDefault="00895EAC" w:rsidP="00895EAC">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Pr="00AA096A">
        <w:rPr>
          <w:rFonts w:ascii="Times New Roman" w:hAnsi="Times New Roman" w:cs="Times New Roman"/>
          <w:color w:val="000000"/>
          <w:sz w:val="24"/>
          <w:szCs w:val="24"/>
        </w:rPr>
        <w:t>Рундель, О.А. Методическое пособие по подготовке к промежуточной аттестации для обучающихся заочной формы обучения образовательных организаций среднего профессионального образования МДК 02.02 Организация пассажирских перевозок и обслуживание пассажиров (по видам трансп : методическое пособие / О. А. Рундель. — Москва : УМЦ ЖДТ, 2023. — 112 с. — Текст : электронный // УМЦ ЖДТ : электронная библиотека. — URL: https://umczdt.ru/books/1258/280006/. — Режим доступа: по подписке.</w:t>
      </w:r>
    </w:p>
    <w:p w:rsidR="00895EAC" w:rsidRPr="00B85772" w:rsidRDefault="00895EAC" w:rsidP="00895EAC">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lastRenderedPageBreak/>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КонсультантПплюс : справочно-поисковая  система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3"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Гарант : информационно - правовой портал.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https://www.garant.ru/ .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 : профессиональная справочная система. - URL :</w:t>
      </w:r>
      <w:hyperlink r:id="rId14" w:history="1">
        <w:r w:rsidRPr="00B85772">
          <w:rPr>
            <w:rFonts w:ascii="Times New Roman" w:hAnsi="Times New Roman" w:cs="Times New Roman"/>
            <w:w w:val="104"/>
            <w:sz w:val="24"/>
            <w:szCs w:val="24"/>
          </w:rPr>
          <w:t>http://www.kodeks.ru/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АСПИЖТ : система правовой информации на железнодорожном транспорте.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5"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6"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Лань : электронная библиотечная система.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7"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BOOK.ru: электронно-библиотечная система : сайт / КНОРУС : издательство учебной литературы.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8"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eLIBRARY.RU : научная электронная библиотека :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9"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зарегистрир.. пользователей.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Министерство транспорта Российской Федерации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0"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РЖД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1"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Федеральное агентство железнодорожного транспорта : официальный сайт.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2"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СЦБИСТ : сайт железнодорожников № 1.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3"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895EAC" w:rsidRPr="00B85772" w:rsidRDefault="00895EAC" w:rsidP="00895EAC">
      <w:pPr>
        <w:spacing w:after="0" w:line="240" w:lineRule="auto"/>
        <w:jc w:val="both"/>
        <w:rPr>
          <w:rFonts w:ascii="Times New Roman" w:hAnsi="Times New Roman" w:cs="Times New Roman"/>
          <w:b/>
          <w:bCs/>
          <w:sz w:val="24"/>
          <w:szCs w:val="24"/>
        </w:rPr>
      </w:pP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профессиональной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ПО1 -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ПО2 -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У1</w:t>
            </w:r>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У2 -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З1 -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З2 -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З4 -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 xml:space="preserve">Тема 1.1, </w:t>
            </w:r>
            <w:bookmarkStart w:id="0" w:name="_GoBack"/>
            <w:bookmarkEnd w:id="0"/>
            <w:r w:rsidRPr="00BE3869">
              <w:rPr>
                <w:rFonts w:ascii="Times New Roman" w:hAnsi="Times New Roman" w:cs="Times New Roman"/>
                <w:sz w:val="24"/>
                <w:szCs w:val="24"/>
              </w:rPr>
              <w:t>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З6 -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З7 -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6C" w:rsidRPr="004C712E" w:rsidRDefault="00D3016C" w:rsidP="0025197A">
      <w:pPr>
        <w:spacing w:after="0" w:line="240" w:lineRule="auto"/>
        <w:rPr>
          <w:sz w:val="20"/>
          <w:szCs w:val="20"/>
          <w:lang w:eastAsia="ru-RU"/>
        </w:rPr>
      </w:pPr>
      <w:r>
        <w:separator/>
      </w:r>
    </w:p>
  </w:endnote>
  <w:endnote w:type="continuationSeparator" w:id="0">
    <w:p w:rsidR="00D3016C" w:rsidRPr="004C712E" w:rsidRDefault="00D3016C"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093766"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093766"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235C05">
      <w:rPr>
        <w:rStyle w:val="af1"/>
        <w:noProof/>
      </w:rPr>
      <w:t>48</w:t>
    </w:r>
    <w:r>
      <w:rPr>
        <w:rStyle w:val="af1"/>
      </w:rPr>
      <w:fldChar w:fldCharType="end"/>
    </w:r>
  </w:p>
  <w:p w:rsidR="008C1EE9" w:rsidRDefault="008C1EE9"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6C" w:rsidRPr="004C712E" w:rsidRDefault="00D3016C" w:rsidP="0025197A">
      <w:pPr>
        <w:spacing w:after="0" w:line="240" w:lineRule="auto"/>
        <w:rPr>
          <w:sz w:val="20"/>
          <w:szCs w:val="20"/>
          <w:lang w:eastAsia="ru-RU"/>
        </w:rPr>
      </w:pPr>
      <w:r>
        <w:separator/>
      </w:r>
    </w:p>
  </w:footnote>
  <w:footnote w:type="continuationSeparator" w:id="0">
    <w:p w:rsidR="00D3016C" w:rsidRPr="004C712E" w:rsidRDefault="00D3016C" w:rsidP="0025197A">
      <w:pPr>
        <w:spacing w:after="0" w:line="240" w:lineRule="auto"/>
        <w:rPr>
          <w:sz w:val="20"/>
          <w:szCs w:val="20"/>
          <w:lang w:eastAsia="ru-RU"/>
        </w:rPr>
      </w:pPr>
      <w:r>
        <w:continuationSeparator/>
      </w:r>
    </w:p>
  </w:footnote>
  <w:footnote w:id="1">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52D1371"/>
    <w:multiLevelType w:val="hybridMultilevel"/>
    <w:tmpl w:val="BE74FA48"/>
    <w:lvl w:ilvl="0" w:tplc="36524454">
      <w:start w:val="1"/>
      <w:numFmt w:val="decimal"/>
      <w:lvlText w:val="%1."/>
      <w:lvlJc w:val="left"/>
      <w:pPr>
        <w:ind w:left="1849" w:hanging="114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3"/>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6610"/>
    <w:rsid w:val="000373FA"/>
    <w:rsid w:val="000408CD"/>
    <w:rsid w:val="000535A5"/>
    <w:rsid w:val="00055C41"/>
    <w:rsid w:val="00070CFA"/>
    <w:rsid w:val="00075DBC"/>
    <w:rsid w:val="00077E2F"/>
    <w:rsid w:val="00093766"/>
    <w:rsid w:val="00093919"/>
    <w:rsid w:val="0009460C"/>
    <w:rsid w:val="0009753F"/>
    <w:rsid w:val="000A22CA"/>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35C05"/>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84749"/>
    <w:rsid w:val="0069755A"/>
    <w:rsid w:val="006B2CD1"/>
    <w:rsid w:val="006C6227"/>
    <w:rsid w:val="006E282C"/>
    <w:rsid w:val="006F4B8A"/>
    <w:rsid w:val="007058B2"/>
    <w:rsid w:val="007070B1"/>
    <w:rsid w:val="007725EB"/>
    <w:rsid w:val="0078797B"/>
    <w:rsid w:val="007A360E"/>
    <w:rsid w:val="007B210C"/>
    <w:rsid w:val="007D78C8"/>
    <w:rsid w:val="007E35AF"/>
    <w:rsid w:val="008013AB"/>
    <w:rsid w:val="00820650"/>
    <w:rsid w:val="00821100"/>
    <w:rsid w:val="00821A12"/>
    <w:rsid w:val="00824AD3"/>
    <w:rsid w:val="00825D0D"/>
    <w:rsid w:val="00837E1C"/>
    <w:rsid w:val="00840FE8"/>
    <w:rsid w:val="008421A2"/>
    <w:rsid w:val="008421CA"/>
    <w:rsid w:val="008501FC"/>
    <w:rsid w:val="0085093C"/>
    <w:rsid w:val="008570C1"/>
    <w:rsid w:val="00873864"/>
    <w:rsid w:val="00887AFE"/>
    <w:rsid w:val="00895EAC"/>
    <w:rsid w:val="008B0FFA"/>
    <w:rsid w:val="008C1EE9"/>
    <w:rsid w:val="008C2DD2"/>
    <w:rsid w:val="008D14F3"/>
    <w:rsid w:val="008D4AC4"/>
    <w:rsid w:val="008E2149"/>
    <w:rsid w:val="008E6654"/>
    <w:rsid w:val="00901A3A"/>
    <w:rsid w:val="00937628"/>
    <w:rsid w:val="0096142F"/>
    <w:rsid w:val="0097616C"/>
    <w:rsid w:val="00980ACF"/>
    <w:rsid w:val="009906E7"/>
    <w:rsid w:val="009945FA"/>
    <w:rsid w:val="009A6917"/>
    <w:rsid w:val="009B76E5"/>
    <w:rsid w:val="009C5165"/>
    <w:rsid w:val="009D2570"/>
    <w:rsid w:val="009E057C"/>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67E26"/>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016C"/>
    <w:rsid w:val="00D33AA1"/>
    <w:rsid w:val="00D400B8"/>
    <w:rsid w:val="00D64048"/>
    <w:rsid w:val="00D740B3"/>
    <w:rsid w:val="00D752D6"/>
    <w:rsid w:val="00D84A28"/>
    <w:rsid w:val="00DA35C2"/>
    <w:rsid w:val="00DA3E87"/>
    <w:rsid w:val="00DC4B8A"/>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 TargetMode="External"/><Relationship Id="rId18" Type="http://schemas.openxmlformats.org/officeDocument/2006/relationships/hyperlink" Target="https://book.ru/" TargetMode="External"/><Relationship Id="rId3" Type="http://schemas.openxmlformats.org/officeDocument/2006/relationships/styles" Target="styles.xml"/><Relationship Id="rId21" Type="http://schemas.openxmlformats.org/officeDocument/2006/relationships/hyperlink" Target="https://www.rzd.ru/" TargetMode="External"/><Relationship Id="rId7" Type="http://schemas.openxmlformats.org/officeDocument/2006/relationships/endnotes" Target="endnotes.xml"/><Relationship Id="rId12" Type="http://schemas.openxmlformats.org/officeDocument/2006/relationships/hyperlink" Target="https://umczdt.ru/books/1196/230310/" TargetMode="External"/><Relationship Id="rId17" Type="http://schemas.openxmlformats.org/officeDocument/2006/relationships/hyperlink" Target="https://e.lanb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czdt.ru/books/" TargetMode="External"/><Relationship Id="rId20" Type="http://schemas.openxmlformats.org/officeDocument/2006/relationships/hyperlink" Target="https://mintran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books/1197/2804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iias.ru/products-and-services/products/asu/avtomatizirovannaya-sistema-pravovoy-informatsii-na-zheleznodorozhnom-transporte" TargetMode="External"/><Relationship Id="rId23" Type="http://schemas.openxmlformats.org/officeDocument/2006/relationships/hyperlink" Target="http://scbist.com" TargetMode="External"/><Relationship Id="rId10" Type="http://schemas.openxmlformats.org/officeDocument/2006/relationships/hyperlink" Target="https://umczdt.ru/books/1196/290006/" TargetMode="External"/><Relationship Id="rId19" Type="http://schemas.openxmlformats.org/officeDocument/2006/relationships/hyperlink" Target="http://elibrary.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kodeks.ru/" TargetMode="External"/><Relationship Id="rId22" Type="http://schemas.openxmlformats.org/officeDocument/2006/relationships/hyperlink" Target="https://rlw.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D8D69-4F84-46E4-A4E8-B6FF39C1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13178</Words>
  <Characters>75116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115</cp:revision>
  <dcterms:created xsi:type="dcterms:W3CDTF">2023-02-09T09:18:00Z</dcterms:created>
  <dcterms:modified xsi:type="dcterms:W3CDTF">2025-04-14T15:50:00Z</dcterms:modified>
</cp:coreProperties>
</file>