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Приложение к ОПОП-П</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по специальности </w:t>
      </w:r>
    </w:p>
    <w:p w:rsidR="0001018D" w:rsidRPr="0001018D"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08.02.10  Строительство железных дорог, </w:t>
      </w:r>
    </w:p>
    <w:p w:rsidR="00852BB6" w:rsidRPr="007A720C" w:rsidRDefault="0001018D" w:rsidP="0001018D">
      <w:pPr>
        <w:pStyle w:val="a3"/>
        <w:jc w:val="right"/>
        <w:rPr>
          <w:rFonts w:ascii="Times New Roman" w:hAnsi="Times New Roman" w:cs="Times New Roman"/>
          <w:sz w:val="28"/>
        </w:rPr>
      </w:pPr>
      <w:r w:rsidRPr="0001018D">
        <w:rPr>
          <w:rFonts w:ascii="Times New Roman" w:hAnsi="Times New Roman" w:cs="Times New Roman"/>
          <w:sz w:val="28"/>
        </w:rPr>
        <w:t xml:space="preserve">путь и путевое хозяйство  </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52BB6" w:rsidRPr="007A720C" w:rsidRDefault="00733953" w:rsidP="00AE2D8B">
      <w:pPr>
        <w:pStyle w:val="a3"/>
        <w:jc w:val="center"/>
        <w:rPr>
          <w:rFonts w:ascii="Times New Roman" w:hAnsi="Times New Roman" w:cs="Times New Roman"/>
          <w:b/>
          <w:kern w:val="1"/>
          <w:sz w:val="28"/>
        </w:rPr>
      </w:pPr>
      <w:r>
        <w:rPr>
          <w:rFonts w:ascii="Times New Roman" w:hAnsi="Times New Roman" w:cs="Times New Roman"/>
          <w:b/>
          <w:kern w:val="1"/>
          <w:sz w:val="28"/>
        </w:rPr>
        <w:t>ООД.09</w:t>
      </w:r>
      <w:bookmarkStart w:id="0" w:name="_GoBack"/>
      <w:bookmarkEnd w:id="0"/>
      <w:r w:rsidR="00514D4B">
        <w:rPr>
          <w:rFonts w:ascii="Times New Roman" w:hAnsi="Times New Roman" w:cs="Times New Roman"/>
          <w:b/>
          <w:kern w:val="1"/>
          <w:sz w:val="28"/>
        </w:rPr>
        <w:t xml:space="preserve"> Химия </w:t>
      </w:r>
    </w:p>
    <w:p w:rsidR="00AE2D8B" w:rsidRDefault="00852BB6" w:rsidP="00AE2D8B">
      <w:pPr>
        <w:pStyle w:val="a3"/>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AE2D8B">
      <w:pPr>
        <w:pStyle w:val="a3"/>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01018D" w:rsidRPr="0001018D" w:rsidRDefault="00852BB6" w:rsidP="0001018D">
      <w:pPr>
        <w:pStyle w:val="a3"/>
        <w:jc w:val="center"/>
        <w:rPr>
          <w:rFonts w:ascii="Times New Roman" w:hAnsi="Times New Roman"/>
          <w:sz w:val="28"/>
          <w:szCs w:val="28"/>
          <w:lang w:eastAsia="x-none"/>
        </w:rPr>
      </w:pPr>
      <w:r w:rsidRPr="00A97262">
        <w:rPr>
          <w:rFonts w:ascii="Times New Roman" w:hAnsi="Times New Roman" w:cs="Times New Roman"/>
          <w:kern w:val="1"/>
          <w:sz w:val="28"/>
        </w:rPr>
        <w:t xml:space="preserve">по специальности </w:t>
      </w:r>
      <w:r w:rsidR="0001018D" w:rsidRPr="0001018D">
        <w:rPr>
          <w:rFonts w:ascii="Times New Roman" w:hAnsi="Times New Roman"/>
          <w:sz w:val="28"/>
          <w:szCs w:val="28"/>
          <w:lang w:eastAsia="x-none"/>
        </w:rPr>
        <w:t xml:space="preserve">08.02.10  Строительство железных дорог, </w:t>
      </w:r>
    </w:p>
    <w:p w:rsidR="00852BB6" w:rsidRPr="00A97262" w:rsidRDefault="0001018D" w:rsidP="0001018D">
      <w:pPr>
        <w:pStyle w:val="a3"/>
        <w:jc w:val="center"/>
        <w:rPr>
          <w:rFonts w:ascii="Times New Roman" w:hAnsi="Times New Roman" w:cs="Times New Roman"/>
          <w:kern w:val="1"/>
          <w:sz w:val="28"/>
        </w:rPr>
      </w:pPr>
      <w:r w:rsidRPr="0001018D">
        <w:rPr>
          <w:rFonts w:ascii="Times New Roman" w:hAnsi="Times New Roman"/>
          <w:sz w:val="28"/>
          <w:szCs w:val="28"/>
          <w:lang w:eastAsia="x-none"/>
        </w:rPr>
        <w:t>путь и путевое хозяйство</w:t>
      </w: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01018D" w:rsidRPr="007A720C" w:rsidRDefault="0001018D"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01018D" w:rsidRDefault="00852BB6" w:rsidP="0001018D">
      <w:pPr>
        <w:pStyle w:val="a3"/>
        <w:ind w:left="-426" w:right="-92" w:firstLine="786"/>
        <w:jc w:val="both"/>
        <w:rPr>
          <w:rFonts w:ascii="Times New Roman" w:hAnsi="Times New Roman"/>
          <w:sz w:val="28"/>
          <w:szCs w:val="28"/>
          <w:lang w:eastAsia="x-none"/>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01018D" w:rsidRPr="0001018D">
        <w:rPr>
          <w:rFonts w:ascii="Times New Roman" w:hAnsi="Times New Roman"/>
          <w:sz w:val="28"/>
          <w:szCs w:val="28"/>
          <w:lang w:eastAsia="x-none"/>
        </w:rPr>
        <w:t xml:space="preserve">08.02.10 </w:t>
      </w:r>
      <w:r w:rsidR="0001018D">
        <w:rPr>
          <w:rFonts w:ascii="Times New Roman" w:hAnsi="Times New Roman"/>
          <w:sz w:val="28"/>
          <w:szCs w:val="28"/>
          <w:lang w:eastAsia="x-none"/>
        </w:rPr>
        <w:t xml:space="preserve"> Строительство железных дорог, </w:t>
      </w:r>
      <w:r w:rsidR="0001018D" w:rsidRPr="0001018D">
        <w:rPr>
          <w:rFonts w:ascii="Times New Roman" w:hAnsi="Times New Roman"/>
          <w:sz w:val="28"/>
          <w:szCs w:val="28"/>
          <w:lang w:eastAsia="x-none"/>
        </w:rPr>
        <w:t>путь и путевое хозяйство</w:t>
      </w:r>
      <w:r w:rsidRPr="007A720C">
        <w:rPr>
          <w:rFonts w:ascii="Times New Roman" w:hAnsi="Times New Roman" w:cs="Times New Roman"/>
          <w:i/>
          <w:iCs/>
          <w:kern w:val="1"/>
          <w:sz w:val="28"/>
        </w:rPr>
        <w:t xml:space="preserve"> </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вносить коррективы в деятельность, оценивать соответствие результатов целям, </w:t>
            </w:r>
            <w:r w:rsidRPr="003A25C7">
              <w:rPr>
                <w:rFonts w:eastAsia="OfficinaSansBookC"/>
                <w:color w:val="000000" w:themeColor="text1"/>
              </w:rPr>
              <w:lastRenderedPageBreak/>
              <w:t>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w:t>
            </w:r>
            <w:r w:rsidRPr="003A25C7">
              <w:rPr>
                <w:rFonts w:eastAsia="OfficinaSansBookC"/>
                <w:color w:val="000000" w:themeColor="text1"/>
              </w:rPr>
              <w:lastRenderedPageBreak/>
              <w:t>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w:t>
            </w:r>
            <w:r w:rsidRPr="003A25C7">
              <w:rPr>
                <w:rFonts w:eastAsia="OfficinaSansBookC"/>
                <w:color w:val="000000" w:themeColor="text1"/>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w:t>
            </w:r>
            <w:r w:rsidRPr="003A25C7">
              <w:rPr>
                <w:rFonts w:eastAsia="OfficinaSansBookC"/>
                <w:color w:val="000000" w:themeColor="text1"/>
              </w:rPr>
              <w:lastRenderedPageBreak/>
              <w:t>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1F179B">
        <w:rPr>
          <w:sz w:val="28"/>
          <w:szCs w:val="28"/>
        </w:rPr>
        <w:t>ООД.07</w:t>
      </w:r>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775725392"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775725393"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775725394"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775725395"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775725396"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775725397"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775725398"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775725399"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775725400"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775725401"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MVOBlbhAAAADQEAAA8AAABkcnMvZG93&#10;bnJldi54bWxMj8FqwzAQRO+F/oPYQm+N7JC0smM5lJYS6CXUyQcolmKZWCtjybHz992c2svC8HZn&#10;Z4rt7Dp2NUNoPUpIFwkwg7XXLTYSjoevFwEsRIVadR6NhJsJsC0fHwqVaz/hj7lWsWFkgiFXEmyM&#10;fc55qK1xKix8b5DY2Q9ORZJDw/WgJjJ3HV8mySt3qkX6YFVvPqypL9XoJLRvmH6P1Wrm6ZQdD3u7&#10;29/GnZTPT/Pnhsb7Blg0c/y7gHsHyg8lBTv5EXVgnQSxFitaJZABIy7EXZ8kLNcZ8LLg/1uUvwAA&#10;AP//AwBQSwECLQAUAAYACAAAACEAtoM4kv4AAADhAQAAEwAAAAAAAAAAAAAAAAAAAAAAW0NvbnRl&#10;bnRfVHlwZXNdLnhtbFBLAQItABQABgAIAAAAIQA4/SH/1gAAAJQBAAALAAAAAAAAAAAAAAAAAC8B&#10;AABfcmVscy8ucmVsc1BLAQItABQABgAIAAAAIQD9t1ZDZwIAAOgEAAAOAAAAAAAAAAAAAAAAAC4C&#10;AABkcnMvZTJvRG9jLnhtbFBLAQItABQABgAIAAAAIQDFTgZW4QAAAA0BAAAPAAAAAAAAAAAAAAAA&#10;AMEEAABkcnMvZG93bnJldi54bWxQSwUGAAAAAAQABADzAAAAzwU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775725402"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775725403"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775725404"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A28" w:rsidRPr="00B71A4F" w:rsidRDefault="003C0A28"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U9kxe4QAAAA0BAAAPAAAAZHJz&#10;L2Rvd25yZXYueG1sTI9BT4NAEIXvJv6HzZh4swtYraUsjdGYJl4aaX/AFqYsKTtL2KXQf+9w0ssk&#10;L2/mzfuy7WRbccXeN44UxIsIBFLpqoZqBcfD19MbCB80Vbp1hApu6GGb399lOq3cSD94LUItOIR8&#10;qhWYELpUSl8atNovXIfE3tn1VgeWfS2rXo8cbluZRNGrtLoh/mB0hx8Gy0sxWAXNiuLvoVhOMh7X&#10;x8Pe7Pa3YafU48P0ueHxvgERcAp/FzAzcH/IudjJDVR50SpYrpI1ryqYMdh/iWZ9UpA8JyDzTP6n&#10;yH8BAAD//wMAUEsBAi0AFAAGAAgAAAAhALaDOJL+AAAA4QEAABMAAAAAAAAAAAAAAAAAAAAAAFtD&#10;b250ZW50X1R5cGVzXS54bWxQSwECLQAUAAYACAAAACEAOP0h/9YAAACUAQAACwAAAAAAAAAAAAAA&#10;AAAvAQAAX3JlbHMvLnJlbHNQSwECLQAUAAYACAAAACEAE1VbDmsCAADvBAAADgAAAAAAAAAAAAAA&#10;AAAuAgAAZHJzL2Uyb0RvYy54bWxQSwECLQAUAAYACAAAACEAFPZMXuEAAAANAQAADwAAAAAAAAAA&#10;AAAAAADFBAAAZHJzL2Rvd25yZXYueG1sUEsFBgAAAAAEAAQA8wAAANMFAAAAAA==&#10;" stroked="f">
                      <v:path arrowok="t"/>
                      <v:textbox inset="0,0,0,0">
                        <w:txbxContent>
                          <w:p w:rsidR="003C0A28" w:rsidRPr="00B71A4F" w:rsidRDefault="003C0A28"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775725405"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775725406"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775725407"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775725408"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775725409"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775725410"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775725411"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775725412"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733953"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4154E4"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4154E4"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4154E4"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4154E4"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4154E4"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4154E4"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E4" w:rsidRDefault="004154E4" w:rsidP="00AE2D8B">
      <w:r>
        <w:separator/>
      </w:r>
    </w:p>
  </w:endnote>
  <w:endnote w:type="continuationSeparator" w:id="0">
    <w:p w:rsidR="004154E4" w:rsidRDefault="004154E4"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619F6" w:rsidRDefault="008619F6"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EndPr>
      <w:rPr>
        <w:rStyle w:val="a7"/>
      </w:rPr>
    </w:sdtEndPr>
    <w:sdtContent>
      <w:p w:rsidR="008619F6" w:rsidRDefault="008619F6"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733953">
          <w:rPr>
            <w:rStyle w:val="a7"/>
            <w:noProof/>
          </w:rPr>
          <w:t>21</w:t>
        </w:r>
        <w:r>
          <w:rPr>
            <w:rStyle w:val="a7"/>
          </w:rPr>
          <w:fldChar w:fldCharType="end"/>
        </w:r>
      </w:p>
    </w:sdtContent>
  </w:sdt>
  <w:p w:rsidR="008619F6" w:rsidRDefault="008619F6"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E4" w:rsidRDefault="004154E4" w:rsidP="00AE2D8B">
      <w:r>
        <w:separator/>
      </w:r>
    </w:p>
  </w:footnote>
  <w:footnote w:type="continuationSeparator" w:id="0">
    <w:p w:rsidR="004154E4" w:rsidRDefault="004154E4"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01018D"/>
    <w:rsid w:val="001F179B"/>
    <w:rsid w:val="002017B6"/>
    <w:rsid w:val="00205DEF"/>
    <w:rsid w:val="0022327E"/>
    <w:rsid w:val="002B2528"/>
    <w:rsid w:val="0033283B"/>
    <w:rsid w:val="003C0A28"/>
    <w:rsid w:val="00414D35"/>
    <w:rsid w:val="004154E4"/>
    <w:rsid w:val="00442A2D"/>
    <w:rsid w:val="00454BF4"/>
    <w:rsid w:val="00483BE3"/>
    <w:rsid w:val="004E0788"/>
    <w:rsid w:val="004F32BE"/>
    <w:rsid w:val="00514D4B"/>
    <w:rsid w:val="005A3F48"/>
    <w:rsid w:val="007220ED"/>
    <w:rsid w:val="007246D1"/>
    <w:rsid w:val="00733953"/>
    <w:rsid w:val="007731CB"/>
    <w:rsid w:val="007A720C"/>
    <w:rsid w:val="007E1CCD"/>
    <w:rsid w:val="00852BB6"/>
    <w:rsid w:val="00856676"/>
    <w:rsid w:val="008619F6"/>
    <w:rsid w:val="0086534D"/>
    <w:rsid w:val="008C6258"/>
    <w:rsid w:val="00A741AE"/>
    <w:rsid w:val="00A97262"/>
    <w:rsid w:val="00AE2D8B"/>
    <w:rsid w:val="00BD4492"/>
    <w:rsid w:val="00D70C7A"/>
    <w:rsid w:val="00E13DB5"/>
    <w:rsid w:val="00E4363B"/>
    <w:rsid w:val="00E739AD"/>
    <w:rsid w:val="00ED6C8A"/>
    <w:rsid w:val="00F17C31"/>
    <w:rsid w:val="00F82B62"/>
    <w:rsid w:val="00FB6B7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12765</Words>
  <Characters>72766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4</cp:revision>
  <dcterms:created xsi:type="dcterms:W3CDTF">2023-05-10T10:55:00Z</dcterms:created>
  <dcterms:modified xsi:type="dcterms:W3CDTF">2024-04-27T08:16:00Z</dcterms:modified>
</cp:coreProperties>
</file>