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 xml:space="preserve">(направление подготовки: </w:t>
      </w:r>
      <w:r w:rsidR="00DB693C">
        <w:rPr>
          <w:rFonts w:ascii="Times New Roman" w:hAnsi="Times New Roman"/>
          <w:spacing w:val="-2"/>
          <w:sz w:val="24"/>
        </w:rPr>
        <w:t>электровозы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CE32B7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 2024</w:t>
      </w:r>
      <w:bookmarkStart w:id="0" w:name="_GoBack"/>
      <w:bookmarkEnd w:id="0"/>
      <w:r w:rsidR="0011612A">
        <w:rPr>
          <w:rFonts w:ascii="Times New Roman" w:hAnsi="Times New Roman"/>
          <w:i/>
          <w:sz w:val="24"/>
        </w:rPr>
        <w:t xml:space="preserve"> )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 xml:space="preserve">Уровень освоения, формируемые компетенции, </w:t>
            </w:r>
            <w:r w:rsidRPr="0029540F">
              <w:rPr>
                <w:rStyle w:val="11"/>
                <w:rFonts w:ascii="Times New Roman" w:hAnsi="Times New Roman" w:cs="Times New Roman"/>
                <w:b/>
              </w:rPr>
              <w:lastRenderedPageBreak/>
              <w:t>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lastRenderedPageBreak/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Стенд «Виды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светофоров»,Стенд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сигнализации»Стенд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«Звуковые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сигналы»Стенд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«Сигналы обозначения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поездов»Стенд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.-Москва: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2)Елистратов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6E" w:rsidRDefault="00C1036E" w:rsidP="0011612A">
      <w:pPr>
        <w:spacing w:after="0" w:line="240" w:lineRule="auto"/>
      </w:pPr>
      <w:r>
        <w:separator/>
      </w:r>
    </w:p>
  </w:endnote>
  <w:endnote w:type="continuationSeparator" w:id="0">
    <w:p w:rsidR="00C1036E" w:rsidRDefault="00C1036E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6E" w:rsidRDefault="00C1036E" w:rsidP="0011612A">
      <w:pPr>
        <w:spacing w:after="0" w:line="240" w:lineRule="auto"/>
      </w:pPr>
      <w:r>
        <w:separator/>
      </w:r>
    </w:p>
  </w:footnote>
  <w:footnote w:type="continuationSeparator" w:id="0">
    <w:p w:rsidR="00C1036E" w:rsidRDefault="00C1036E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F40E4"/>
    <w:rsid w:val="009D5A00"/>
    <w:rsid w:val="00A461E1"/>
    <w:rsid w:val="00B51FEA"/>
    <w:rsid w:val="00C1036E"/>
    <w:rsid w:val="00C92064"/>
    <w:rsid w:val="00CE32B7"/>
    <w:rsid w:val="00D6307D"/>
    <w:rsid w:val="00D97648"/>
    <w:rsid w:val="00DB693C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12</cp:revision>
  <dcterms:created xsi:type="dcterms:W3CDTF">2023-04-28T06:17:00Z</dcterms:created>
  <dcterms:modified xsi:type="dcterms:W3CDTF">2024-04-23T11:56:00Z</dcterms:modified>
</cp:coreProperties>
</file>