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80140F"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w:t>
      </w:r>
      <w:r w:rsidR="00045533" w:rsidRPr="00045533">
        <w:rPr>
          <w:b/>
          <w:bCs/>
          <w:sz w:val="28"/>
          <w:szCs w:val="28"/>
        </w:rPr>
        <w:t>.02.</w:t>
      </w:r>
      <w:r>
        <w:rPr>
          <w:b/>
          <w:bCs/>
          <w:sz w:val="28"/>
          <w:szCs w:val="28"/>
        </w:rPr>
        <w:t>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DF2F7B" w:rsidRPr="0091634C" w:rsidRDefault="0091634C" w:rsidP="0091634C">
      <w:pPr>
        <w:jc w:val="center"/>
        <w:rPr>
          <w:sz w:val="28"/>
          <w:szCs w:val="28"/>
          <w:lang w:eastAsia="ru-RU"/>
        </w:rPr>
      </w:pPr>
      <w:r w:rsidRPr="0091634C">
        <w:rPr>
          <w:sz w:val="28"/>
          <w:szCs w:val="28"/>
          <w:lang w:eastAsia="ru-RU"/>
        </w:rPr>
        <w:t>202</w:t>
      </w:r>
      <w:r w:rsidR="004C1E45">
        <w:rPr>
          <w:sz w:val="28"/>
          <w:szCs w:val="28"/>
          <w:lang w:eastAsia="ru-RU"/>
        </w:rPr>
        <w:t>3</w:t>
      </w:r>
      <w:bookmarkStart w:id="0" w:name="_GoBack"/>
      <w:bookmarkEnd w:id="0"/>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4E101D">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1F15CD">
        <w:rPr>
          <w:iCs/>
        </w:rPr>
        <w:t xml:space="preserve">для </w:t>
      </w:r>
      <w:r w:rsidR="001F15CD">
        <w:t>заочной формы</w:t>
      </w:r>
      <w:r w:rsidRPr="002B6FF9">
        <w:t xml:space="preserve"> обучения 4 курс.</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Демонстрирующий клиенто</w:t>
            </w:r>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вагонов- путеизмерителей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ему контролю рельсов, с наиболее эффективным использованием и содержанием дефектоскопных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FC143A">
      <w:pPr>
        <w:widowControl w:val="0"/>
        <w:autoSpaceDE w:val="0"/>
        <w:autoSpaceDN w:val="0"/>
        <w:adjustRightInd w:val="0"/>
        <w:rPr>
          <w:rFonts w:eastAsiaTheme="minorEastAsia"/>
          <w:lang w:eastAsia="ru-RU"/>
        </w:rPr>
      </w:pPr>
      <w:r w:rsidRPr="000C7521">
        <w:t xml:space="preserve">Реализация программы производственной практики (преддипломной) </w:t>
      </w:r>
      <w:r w:rsidR="00FC143A">
        <w:t>– базовые предприятия.</w:t>
      </w:r>
      <w:r w:rsidRPr="000C7521">
        <w:rPr>
          <w:rFonts w:eastAsia="Times New Roman"/>
          <w:lang w:eastAsia="ru-RU"/>
        </w:rPr>
        <w:t xml:space="preserve"> </w:t>
      </w: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lastRenderedPageBreak/>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r w:rsidRPr="000C7521">
        <w:t>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r w:rsidRPr="000C7521">
              <w:rPr>
                <w:b/>
                <w:bCs/>
                <w:sz w:val="20"/>
                <w:szCs w:val="20"/>
              </w:rPr>
              <w:t>(освоенные</w:t>
            </w:r>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0C7521">
              <w:rPr>
                <w:sz w:val="20"/>
                <w:szCs w:val="20"/>
              </w:rPr>
              <w:lastRenderedPageBreak/>
              <w:t>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саморегуляции и саморазвития в </w:t>
            </w:r>
            <w:r w:rsidRPr="000C7521">
              <w:rPr>
                <w:rFonts w:eastAsia="Arial Unicode MS"/>
                <w:sz w:val="20"/>
                <w:szCs w:val="20"/>
                <w:lang w:eastAsia="ru-RU"/>
              </w:rPr>
              <w:lastRenderedPageBreak/>
              <w:t xml:space="preserve">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7 Содействовать сохранению окружающей среды, ресурсосбережению, </w:t>
            </w:r>
            <w:r w:rsidRPr="000C7521">
              <w:rPr>
                <w:sz w:val="20"/>
                <w:szCs w:val="20"/>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w:t>
            </w:r>
            <w:r w:rsidRPr="000C7521">
              <w:rPr>
                <w:rFonts w:eastAsia="Arial Unicode MS"/>
                <w:sz w:val="20"/>
                <w:szCs w:val="20"/>
                <w:lang w:eastAsia="ru-RU"/>
              </w:rPr>
              <w:lastRenderedPageBreak/>
              <w:t>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r w:rsidRPr="000C7521">
              <w:rPr>
                <w:b/>
                <w:bCs/>
                <w:sz w:val="20"/>
                <w:szCs w:val="20"/>
              </w:rPr>
              <w:t>(освоенные</w:t>
            </w:r>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2.2. Производить ремонт и строительство железнодорожного пути с </w:t>
            </w:r>
            <w:r w:rsidRPr="000C7521">
              <w:rPr>
                <w:sz w:val="20"/>
                <w:szCs w:val="20"/>
              </w:rPr>
              <w:lastRenderedPageBreak/>
              <w:t>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lastRenderedPageBreak/>
              <w:t xml:space="preserve">Выполнение основных видов работ по текущему содержанию и ремонту пути в соответствии с требованиями технологических </w:t>
            </w:r>
            <w:r w:rsidRPr="000C7521">
              <w:rPr>
                <w:sz w:val="20"/>
                <w:szCs w:val="20"/>
              </w:rPr>
              <w:lastRenderedPageBreak/>
              <w:t>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lastRenderedPageBreak/>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структурных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4.4. Обеспечивать </w:t>
            </w:r>
            <w:r w:rsidRPr="000C7521">
              <w:rPr>
                <w:sz w:val="20"/>
                <w:szCs w:val="20"/>
              </w:rPr>
              <w:lastRenderedPageBreak/>
              <w:t>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lastRenderedPageBreak/>
              <w:t xml:space="preserve">Выполнение организации производственного и </w:t>
            </w:r>
            <w:r w:rsidRPr="000C7521">
              <w:rPr>
                <w:sz w:val="20"/>
                <w:szCs w:val="20"/>
              </w:rPr>
              <w:lastRenderedPageBreak/>
              <w:t>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85" w:rsidRDefault="00545885" w:rsidP="005D7A99">
      <w:r>
        <w:separator/>
      </w:r>
    </w:p>
  </w:endnote>
  <w:endnote w:type="continuationSeparator" w:id="0">
    <w:p w:rsidR="00545885" w:rsidRDefault="00545885"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EndPr/>
    <w:sdtContent>
      <w:p w:rsidR="0080140F" w:rsidRDefault="0080140F">
        <w:pPr>
          <w:pStyle w:val="ad"/>
          <w:jc w:val="right"/>
        </w:pPr>
        <w:r>
          <w:fldChar w:fldCharType="begin"/>
        </w:r>
        <w:r>
          <w:instrText>PAGE   \* MERGEFORMAT</w:instrText>
        </w:r>
        <w:r>
          <w:fldChar w:fldCharType="separate"/>
        </w:r>
        <w:r w:rsidR="004C1E45">
          <w:rPr>
            <w:noProof/>
          </w:rPr>
          <w:t>42</w:t>
        </w:r>
        <w:r>
          <w:fldChar w:fldCharType="end"/>
        </w:r>
      </w:p>
    </w:sdtContent>
  </w:sdt>
  <w:p w:rsidR="0080140F" w:rsidRDefault="0080140F"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85" w:rsidRDefault="00545885" w:rsidP="005D7A99">
      <w:r>
        <w:separator/>
      </w:r>
    </w:p>
  </w:footnote>
  <w:footnote w:type="continuationSeparator" w:id="0">
    <w:p w:rsidR="00545885" w:rsidRDefault="00545885"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1F15CD"/>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C607D"/>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1E45"/>
    <w:rsid w:val="004C4B2C"/>
    <w:rsid w:val="004C6CB5"/>
    <w:rsid w:val="004D1C6A"/>
    <w:rsid w:val="004D28EE"/>
    <w:rsid w:val="004D38A2"/>
    <w:rsid w:val="004E101D"/>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5885"/>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40F"/>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C143A"/>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C223A-2A2E-4917-901F-26062B6E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9858</Words>
  <Characters>56196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4</cp:revision>
  <cp:lastPrinted>2024-10-04T05:10:00Z</cp:lastPrinted>
  <dcterms:created xsi:type="dcterms:W3CDTF">2025-03-05T12:33:00Z</dcterms:created>
  <dcterms:modified xsi:type="dcterms:W3CDTF">2025-03-28T05:46:00Z</dcterms:modified>
</cp:coreProperties>
</file>