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 xml:space="preserve">(год начала подготовки: </w:t>
      </w:r>
      <w:proofErr w:type="gramStart"/>
      <w:r>
        <w:rPr>
          <w:b/>
          <w:bCs/>
          <w:i/>
        </w:rPr>
        <w:t>2023</w:t>
      </w:r>
      <w:r w:rsidR="007B6246">
        <w:rPr>
          <w:b/>
          <w:bCs/>
          <w:i/>
        </w:rPr>
        <w:t xml:space="preserve"> )</w:t>
      </w:r>
      <w:proofErr w:type="gramEnd"/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proofErr w:type="gram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  <w:proofErr w:type="gramEnd"/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</w:t>
      </w:r>
      <w:proofErr w:type="gramStart"/>
      <w:r w:rsidR="00CF25BD">
        <w:rPr>
          <w:b/>
          <w:caps/>
          <w:sz w:val="28"/>
          <w:szCs w:val="28"/>
        </w:rPr>
        <w:t xml:space="preserve">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proofErr w:type="gramEnd"/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</w:t>
      </w:r>
      <w:proofErr w:type="gramStart"/>
      <w:r w:rsidR="002439AE" w:rsidRPr="003333F1">
        <w:rPr>
          <w:b/>
        </w:rPr>
        <w:t>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proofErr w:type="gramEnd"/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1.5.1  Пассивные</w:t>
      </w:r>
      <w:proofErr w:type="gramEnd"/>
      <w:r>
        <w:rPr>
          <w:sz w:val="28"/>
          <w:szCs w:val="28"/>
        </w:rPr>
        <w:t>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 xml:space="preserve">Организация деятельности коллектива </w:t>
      </w:r>
      <w:proofErr w:type="gramStart"/>
      <w:r w:rsidR="00B80B7C" w:rsidRPr="007046FE">
        <w:rPr>
          <w:color w:val="000000"/>
          <w:sz w:val="28"/>
          <w:szCs w:val="28"/>
        </w:rPr>
        <w:t>исполнителей(</w:t>
      </w:r>
      <w:proofErr w:type="gramEnd"/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7B37A4">
              <w:rPr>
                <w:sz w:val="28"/>
                <w:szCs w:val="28"/>
              </w:rPr>
              <w:t>интерпретации информации</w:t>
            </w:r>
            <w:proofErr w:type="gramEnd"/>
            <w:r w:rsidRPr="007B37A4">
              <w:rPr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2"/>
      <w:bookmarkEnd w:id="3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  <w:bookmarkStart w:id="4" w:name="_GoBack"/>
      <w:bookmarkEnd w:id="4"/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  <w:proofErr w:type="gram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  <w:proofErr w:type="gram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  <w:proofErr w:type="gram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5948F1" w:rsidP="000B45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12DDF" w:rsidRPr="00BA5E8F">
              <w:rPr>
                <w:b/>
              </w:rPr>
              <w:t xml:space="preserve">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« Правонарушения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lastRenderedPageBreak/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обязанности  гражданина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lastRenderedPageBreak/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проработка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proofErr w:type="gram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lastRenderedPageBreak/>
              <w:t xml:space="preserve">тему «Перспективы </w:t>
            </w:r>
            <w:proofErr w:type="gramStart"/>
            <w:r w:rsidRPr="00A9574E">
              <w:rPr>
                <w:rFonts w:eastAsia="Calibri"/>
                <w:bCs/>
                <w:sz w:val="20"/>
                <w:szCs w:val="20"/>
              </w:rPr>
              <w:t>развития  железнодорожного</w:t>
            </w:r>
            <w:proofErr w:type="gramEnd"/>
            <w:r w:rsidRPr="00A9574E">
              <w:rPr>
                <w:rFonts w:eastAsia="Calibri"/>
                <w:bCs/>
                <w:sz w:val="20"/>
                <w:szCs w:val="20"/>
              </w:rPr>
              <w:t xml:space="preserve">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Правовая основа функционирования железнодорожного транспорта. Действие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Федерального  закона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–«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Федеральный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закон  «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>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контроль  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Работа железных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дорог  в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чрезвычайных ситуациях.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Правовое  регулирование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23362"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="00123362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>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Порядок разрешения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споров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5948F1" w:rsidP="000B45E4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lastRenderedPageBreak/>
              <w:t>5</w:t>
            </w:r>
            <w:r w:rsidR="00F26169" w:rsidRPr="00577835">
              <w:rPr>
                <w:rFonts w:eastAsia="Calibri"/>
                <w:b/>
                <w:bCs/>
              </w:rPr>
              <w:t xml:space="preserve">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–«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Дисциплина работников. Трудовая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lastRenderedPageBreak/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понятие, виды, порядок привлечения, порядок возмещения </w:t>
            </w:r>
            <w:proofErr w:type="gramStart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ущерба )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</w:t>
            </w:r>
            <w:proofErr w:type="gramStart"/>
            <w:r w:rsidRPr="003B39B9">
              <w:rPr>
                <w:rFonts w:eastAsia="Calibri"/>
                <w:bCs/>
                <w:sz w:val="20"/>
                <w:szCs w:val="20"/>
              </w:rPr>
              <w:t>составить  ситуационную</w:t>
            </w:r>
            <w:proofErr w:type="gramEnd"/>
            <w:r w:rsidRPr="003B39B9">
              <w:rPr>
                <w:rFonts w:eastAsia="Calibri"/>
                <w:bCs/>
                <w:sz w:val="20"/>
                <w:szCs w:val="20"/>
              </w:rPr>
              <w:t xml:space="preserve">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52368"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="00552368"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5948F1" w:rsidP="000B45E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5 </w:t>
            </w:r>
            <w:r w:rsidR="00CF0509" w:rsidRPr="00577835">
              <w:rPr>
                <w:rFonts w:eastAsia="Calibri"/>
                <w:b/>
                <w:bCs/>
              </w:rPr>
              <w:t>семестр</w:t>
            </w:r>
            <w:r w:rsidR="00CF0509"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  <w:proofErr w:type="gram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0C24AB">
              <w:rPr>
                <w:bCs/>
                <w:sz w:val="20"/>
                <w:szCs w:val="20"/>
              </w:rPr>
              <w:t xml:space="preserve">  Проработка</w:t>
            </w:r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5948F1" w:rsidP="000B45E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CF0509" w:rsidRPr="003772A2">
              <w:rPr>
                <w:rFonts w:eastAsia="Calibri"/>
                <w:b/>
                <w:bCs/>
              </w:rPr>
              <w:t xml:space="preserve"> семестр</w:t>
            </w:r>
            <w:r w:rsidR="00CF0509"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b/>
                <w:sz w:val="20"/>
                <w:szCs w:val="20"/>
              </w:rPr>
              <w:t>1 .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:Определение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lastRenderedPageBreak/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proofErr w:type="gramStart"/>
            <w:r w:rsidRPr="00444DD2">
              <w:rPr>
                <w:bCs/>
                <w:sz w:val="20"/>
                <w:szCs w:val="20"/>
              </w:rPr>
              <w:t>Проработка  записей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proofErr w:type="gram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proofErr w:type="gram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на тему: </w:t>
            </w:r>
            <w:proofErr w:type="gramStart"/>
            <w:r w:rsidRPr="00444DD2">
              <w:rPr>
                <w:bCs/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proofErr w:type="gramEnd"/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proofErr w:type="gram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</w:t>
            </w:r>
            <w:proofErr w:type="gramStart"/>
            <w:r w:rsidRPr="00444DD2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</w:t>
            </w:r>
            <w:proofErr w:type="gramStart"/>
            <w:r w:rsidRPr="00444DD2">
              <w:rPr>
                <w:b/>
                <w:sz w:val="20"/>
                <w:szCs w:val="20"/>
              </w:rPr>
              <w:t>18.</w:t>
            </w:r>
            <w:r w:rsidRPr="00444DD2">
              <w:rPr>
                <w:sz w:val="20"/>
                <w:szCs w:val="20"/>
              </w:rPr>
              <w:t>.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локомотивов..</w:t>
            </w:r>
            <w:proofErr w:type="gramEnd"/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proofErr w:type="gram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proofErr w:type="gram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</w:t>
            </w:r>
            <w:proofErr w:type="gramStart"/>
            <w:r w:rsidRPr="00B35772">
              <w:rPr>
                <w:sz w:val="20"/>
                <w:szCs w:val="20"/>
              </w:rPr>
              <w:t>программы  ремонта</w:t>
            </w:r>
            <w:proofErr w:type="gramEnd"/>
            <w:r w:rsidRPr="00B35772">
              <w:rPr>
                <w:sz w:val="20"/>
                <w:szCs w:val="20"/>
              </w:rPr>
              <w:t xml:space="preserve">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</w:t>
            </w:r>
            <w:proofErr w:type="gramStart"/>
            <w:r w:rsidRPr="00B35772">
              <w:rPr>
                <w:sz w:val="20"/>
                <w:szCs w:val="20"/>
              </w:rPr>
              <w:t xml:space="preserve">программы  </w:t>
            </w:r>
            <w:r w:rsidRPr="00B35772">
              <w:rPr>
                <w:rStyle w:val="FontStyle17"/>
              </w:rPr>
              <w:t>участка</w:t>
            </w:r>
            <w:proofErr w:type="gramEnd"/>
            <w:r w:rsidRPr="00B35772">
              <w:rPr>
                <w:rStyle w:val="FontStyle17"/>
              </w:rPr>
              <w:t xml:space="preserve">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B35772">
              <w:rPr>
                <w:b/>
                <w:sz w:val="20"/>
                <w:szCs w:val="20"/>
              </w:rPr>
              <w:t xml:space="preserve">проектированию </w:t>
            </w:r>
            <w:r w:rsidRPr="00B35772">
              <w:rPr>
                <w:sz w:val="20"/>
                <w:szCs w:val="20"/>
              </w:rPr>
              <w:t xml:space="preserve"> Расходы</w:t>
            </w:r>
            <w:proofErr w:type="gramEnd"/>
            <w:r w:rsidRPr="00B35772">
              <w:rPr>
                <w:sz w:val="20"/>
                <w:szCs w:val="20"/>
              </w:rPr>
              <w:t xml:space="preserve">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proofErr w:type="gramEnd"/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 xml:space="preserve">Историческое развитие менеджмента, определения </w:t>
            </w:r>
            <w:proofErr w:type="gramStart"/>
            <w:r w:rsidRPr="00B35772">
              <w:rPr>
                <w:bCs/>
                <w:sz w:val="20"/>
                <w:szCs w:val="20"/>
              </w:rPr>
              <w:t>менеджмента,.</w:t>
            </w:r>
            <w:proofErr w:type="gramEnd"/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proofErr w:type="gram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>,  стили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444DD2">
              <w:rPr>
                <w:bCs/>
                <w:sz w:val="20"/>
                <w:szCs w:val="20"/>
              </w:rPr>
              <w:t>тему:«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</w:t>
            </w:r>
            <w:proofErr w:type="gramStart"/>
            <w:r w:rsidRPr="00FA5E44">
              <w:rPr>
                <w:bCs/>
                <w:sz w:val="20"/>
                <w:szCs w:val="20"/>
              </w:rPr>
              <w:t>исполнения  контроль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</w:t>
            </w:r>
            <w:proofErr w:type="gramStart"/>
            <w:r w:rsidRPr="00444DD2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 xml:space="preserve">оиск решений по урегулированию </w:t>
            </w:r>
            <w:proofErr w:type="gramStart"/>
            <w:r w:rsidRPr="00444DD2">
              <w:rPr>
                <w:color w:val="000000"/>
                <w:sz w:val="20"/>
                <w:szCs w:val="20"/>
              </w:rPr>
              <w:t>различных  конфликтных</w:t>
            </w:r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lastRenderedPageBreak/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FA5E44">
              <w:rPr>
                <w:rFonts w:eastAsia="Calibri"/>
                <w:bCs/>
                <w:sz w:val="20"/>
                <w:szCs w:val="20"/>
              </w:rPr>
              <w:t>« Организация</w:t>
            </w:r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 xml:space="preserve">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proofErr w:type="gramStart"/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</w:t>
            </w:r>
            <w:proofErr w:type="gramEnd"/>
            <w:r>
              <w:rPr>
                <w:sz w:val="20"/>
                <w:szCs w:val="20"/>
              </w:rPr>
              <w:t xml:space="preserve">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</w:t>
            </w:r>
            <w:proofErr w:type="gramStart"/>
            <w:r w:rsidR="00DB7A2F">
              <w:rPr>
                <w:bCs/>
                <w:color w:val="000000"/>
                <w:sz w:val="20"/>
                <w:szCs w:val="20"/>
              </w:rPr>
              <w:t>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</w:t>
      </w:r>
      <w:proofErr w:type="gramStart"/>
      <w:r>
        <w:t xml:space="preserve">ресурсы, </w:t>
      </w:r>
      <w:r w:rsidRPr="00610412">
        <w:t xml:space="preserve"> использ</w:t>
      </w:r>
      <w:r>
        <w:t>уемые</w:t>
      </w:r>
      <w:proofErr w:type="gramEnd"/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1A3DF2">
        <w:rPr>
          <w:sz w:val="28"/>
          <w:szCs w:val="28"/>
        </w:rPr>
        <w:t>учебник.-</w:t>
      </w:r>
      <w:proofErr w:type="gramEnd"/>
      <w:r w:rsidR="000F22EA" w:rsidRPr="001A3DF2">
        <w:rPr>
          <w:sz w:val="28"/>
          <w:szCs w:val="28"/>
        </w:rPr>
        <w:t xml:space="preserve">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 xml:space="preserve">/47/39306/ (дата </w:t>
      </w:r>
      <w:proofErr w:type="gramStart"/>
      <w:r w:rsidR="001A3DF2">
        <w:rPr>
          <w:sz w:val="28"/>
          <w:szCs w:val="28"/>
        </w:rPr>
        <w:t>обращения  21</w:t>
      </w:r>
      <w:r w:rsidR="001A3DF2" w:rsidRPr="001A3DF2">
        <w:rPr>
          <w:sz w:val="28"/>
          <w:szCs w:val="28"/>
        </w:rPr>
        <w:t>.04.2023</w:t>
      </w:r>
      <w:proofErr w:type="gramEnd"/>
      <w:r w:rsidR="001A3DF2" w:rsidRPr="001A3DF2">
        <w:rPr>
          <w:sz w:val="28"/>
          <w:szCs w:val="28"/>
        </w:rPr>
        <w:t xml:space="preserve">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proofErr w:type="gram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  <w:proofErr w:type="gramEnd"/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</w:t>
        </w:r>
        <w:proofErr w:type="gramStart"/>
        <w:r w:rsidR="002278F7" w:rsidRPr="00263C9F">
          <w:rPr>
            <w:rStyle w:val="af5"/>
            <w:bCs/>
            <w:sz w:val="28"/>
            <w:szCs w:val="28"/>
          </w:rPr>
          <w:t>доступа</w:t>
        </w:r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proofErr w:type="gramStart"/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</w:t>
      </w:r>
      <w:proofErr w:type="gramEnd"/>
      <w:r w:rsidR="002278F7" w:rsidRPr="00067AB0">
        <w:rPr>
          <w:color w:val="000000"/>
          <w:sz w:val="28"/>
          <w:szCs w:val="28"/>
        </w:rPr>
        <w:t>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</w:t>
      </w:r>
      <w:proofErr w:type="gramStart"/>
      <w:r w:rsidR="00924BF1" w:rsidRPr="008D5565">
        <w:rPr>
          <w:color w:val="000000"/>
          <w:spacing w:val="-4"/>
          <w:sz w:val="28"/>
          <w:szCs w:val="28"/>
        </w:rPr>
        <w:t>система  «</w:t>
      </w:r>
      <w:proofErr w:type="gramEnd"/>
      <w:r w:rsidR="00924BF1" w:rsidRPr="008D5565">
        <w:rPr>
          <w:color w:val="000000"/>
          <w:spacing w:val="-4"/>
          <w:sz w:val="28"/>
          <w:szCs w:val="28"/>
        </w:rPr>
        <w:t xml:space="preserve">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</w:t>
      </w:r>
      <w:proofErr w:type="gramStart"/>
      <w:r>
        <w:rPr>
          <w:b/>
          <w:sz w:val="28"/>
          <w:szCs w:val="28"/>
        </w:rPr>
        <w:t>модуля  ПМ</w:t>
      </w:r>
      <w:proofErr w:type="gramEnd"/>
      <w:r>
        <w:rPr>
          <w:b/>
          <w:sz w:val="28"/>
          <w:szCs w:val="28"/>
        </w:rPr>
        <w:t xml:space="preserve">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proofErr w:type="gramStart"/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</w:t>
      </w:r>
      <w:proofErr w:type="gramEnd"/>
      <w:r>
        <w:rPr>
          <w:b/>
          <w:sz w:val="28"/>
          <w:szCs w:val="28"/>
        </w:rPr>
        <w:t xml:space="preserve">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</w:t>
      </w:r>
      <w:proofErr w:type="gramStart"/>
      <w:r w:rsidRPr="003333F1">
        <w:t>осуществляется</w:t>
      </w:r>
      <w:proofErr w:type="gramEnd"/>
      <w:r w:rsidRPr="003333F1">
        <w:t xml:space="preserve">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proofErr w:type="gramStart"/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</w:t>
            </w:r>
            <w:proofErr w:type="gramEnd"/>
            <w:r w:rsidRPr="003333F1">
              <w:rPr>
                <w:i/>
                <w:iCs/>
              </w:rPr>
              <w:t>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 xml:space="preserve">ОК, </w:t>
            </w:r>
            <w:proofErr w:type="gramStart"/>
            <w:r w:rsidRPr="00214A89">
              <w:rPr>
                <w:b/>
                <w:bCs/>
                <w:i/>
                <w:sz w:val="20"/>
                <w:szCs w:val="20"/>
              </w:rPr>
              <w:t>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освоения МДК </w:t>
            </w:r>
            <w:proofErr w:type="gramStart"/>
            <w:r w:rsidRPr="00CC2D4D">
              <w:t>02.01  студент</w:t>
            </w:r>
            <w:proofErr w:type="gramEnd"/>
            <w:r w:rsidRPr="00CC2D4D">
              <w:t xml:space="preserve">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gramStart"/>
            <w:r w:rsidRPr="00CC2D4D">
              <w:rPr>
                <w:bCs/>
              </w:rPr>
              <w:t>проверять  качество</w:t>
            </w:r>
            <w:proofErr w:type="gramEnd"/>
            <w:r w:rsidRPr="00CC2D4D">
              <w:rPr>
                <w:bCs/>
              </w:rPr>
              <w:t xml:space="preserve">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</w:t>
            </w:r>
            <w:proofErr w:type="gramStart"/>
            <w:r w:rsidRPr="00CC2D4D">
              <w:t>освоения  МДК</w:t>
            </w:r>
            <w:proofErr w:type="gramEnd"/>
            <w:r w:rsidRPr="00CC2D4D">
              <w:t xml:space="preserve">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</w:t>
            </w:r>
            <w:proofErr w:type="gramStart"/>
            <w:r w:rsidRPr="00CC2D4D">
              <w:rPr>
                <w:bCs/>
              </w:rPr>
              <w:t>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</w:t>
            </w:r>
            <w:proofErr w:type="gramEnd"/>
            <w:r w:rsidR="00DB4277">
              <w:rPr>
                <w:bCs/>
              </w:rPr>
              <w:t xml:space="preserve">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</w:t>
            </w:r>
            <w:proofErr w:type="gramStart"/>
            <w:r w:rsidRPr="00CC2D4D">
              <w:rPr>
                <w:color w:val="000000"/>
                <w:spacing w:val="-4"/>
              </w:rPr>
              <w:t xml:space="preserve">занятиях,   </w:t>
            </w:r>
            <w:proofErr w:type="gramEnd"/>
            <w:r w:rsidRPr="00CC2D4D">
              <w:rPr>
                <w:color w:val="000000"/>
                <w:spacing w:val="-4"/>
              </w:rPr>
              <w:t xml:space="preserve">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D4" w:rsidRDefault="00A90FD4">
      <w:r>
        <w:separator/>
      </w:r>
    </w:p>
  </w:endnote>
  <w:endnote w:type="continuationSeparator" w:id="0">
    <w:p w:rsidR="00A90FD4" w:rsidRDefault="00A9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D4" w:rsidRDefault="00A90FD4">
      <w:r>
        <w:separator/>
      </w:r>
    </w:p>
  </w:footnote>
  <w:footnote w:type="continuationSeparator" w:id="0">
    <w:p w:rsidR="00A90FD4" w:rsidRDefault="00A9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46332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A74A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5132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48F1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327A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0FD4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309B30-0434-4C95-9518-4AF90FE6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4F73-DDE1-4304-B7AA-CE41F830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7343</Words>
  <Characters>41859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Лариса Журавлева</cp:lastModifiedBy>
  <cp:revision>26</cp:revision>
  <cp:lastPrinted>2020-02-14T06:38:00Z</cp:lastPrinted>
  <dcterms:created xsi:type="dcterms:W3CDTF">2023-04-22T04:55:00Z</dcterms:created>
  <dcterms:modified xsi:type="dcterms:W3CDTF">2025-03-03T11:11:00Z</dcterms:modified>
</cp:coreProperties>
</file>