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421C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6AB3">
        <w:rPr>
          <w:rFonts w:ascii="Times New Roman" w:hAnsi="Times New Roman"/>
          <w:b/>
          <w:bCs/>
          <w:sz w:val="28"/>
          <w:szCs w:val="28"/>
        </w:rPr>
        <w:t>39</w:t>
      </w:r>
      <w:r>
        <w:rPr>
          <w:rFonts w:ascii="Times New Roman" w:hAnsi="Times New Roman"/>
          <w:b/>
          <w:bCs/>
          <w:sz w:val="28"/>
          <w:szCs w:val="28"/>
        </w:rPr>
        <w:t xml:space="preserve"> к ППССЗ</w:t>
      </w:r>
    </w:p>
    <w:p w:rsidR="00D4543A" w:rsidRPr="003F390A" w:rsidRDefault="00FD51A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 23.02.01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  <w:bookmarkStart w:id="0" w:name="_GoBack"/>
      <w:bookmarkEnd w:id="0"/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Default="00D4543A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w w:val="105"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EF2512" w:rsidRPr="009925C7" w:rsidRDefault="00EF2512" w:rsidP="009A7833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12" w:rsidRPr="009A7833" w:rsidRDefault="009A7833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ЭК.ОП.01</w:t>
      </w:r>
      <w:r w:rsidR="00EF2512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>Транспортная безопасность</w:t>
      </w:r>
      <w:r w:rsidR="00EF2512" w:rsidRPr="009A78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24056F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(Базовая </w:t>
      </w:r>
      <w:r w:rsidR="00D4543A" w:rsidRPr="009925C7">
        <w:rPr>
          <w:rFonts w:ascii="Times New Roman" w:hAnsi="Times New Roman"/>
          <w:b/>
          <w:sz w:val="28"/>
          <w:szCs w:val="28"/>
        </w:rPr>
        <w:t>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9A7833" w:rsidRPr="009A7833">
        <w:rPr>
          <w:rFonts w:ascii="Times New Roman" w:hAnsi="Times New Roman"/>
          <w:i/>
          <w:sz w:val="28"/>
        </w:rPr>
        <w:t>ЭК.ОП.01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У1 -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У2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З1</w:t>
      </w:r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 xml:space="preserve">З9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hAnsi="Times New Roman"/>
          <w:bCs/>
          <w:sz w:val="28"/>
          <w:szCs w:val="28"/>
        </w:rPr>
        <w:t>ОК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F2512" w:rsidRP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/>
          <w:sz w:val="28"/>
          <w:szCs w:val="28"/>
        </w:rPr>
        <w:lastRenderedPageBreak/>
        <w:t>ПК 2.2</w:t>
      </w:r>
      <w:r w:rsidR="009A7833">
        <w:rPr>
          <w:rFonts w:ascii="Times New Roman" w:hAnsi="Times New Roman"/>
          <w:sz w:val="28"/>
          <w:szCs w:val="28"/>
        </w:rPr>
        <w:t>.</w:t>
      </w:r>
      <w:r w:rsidRPr="00EF2512">
        <w:rPr>
          <w:rFonts w:ascii="Times New Roman" w:hAnsi="Times New Roman"/>
          <w:sz w:val="28"/>
          <w:szCs w:val="28"/>
        </w:rPr>
        <w:t xml:space="preserve"> </w:t>
      </w:r>
      <w:r w:rsidR="009B3E4D" w:rsidRPr="009B3E4D">
        <w:rPr>
          <w:rFonts w:ascii="Times New Roman" w:hAnsi="Times New Roman"/>
          <w:sz w:val="28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FE6CC1" w:rsidRPr="00FE6CC1" w:rsidRDefault="00FE6CC1" w:rsidP="00FE6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E6CC1">
        <w:rPr>
          <w:rFonts w:ascii="Times New Roman" w:hAnsi="Times New Roman" w:cs="Times New Roman"/>
          <w:color w:val="000000"/>
          <w:sz w:val="28"/>
          <w:szCs w:val="24"/>
        </w:rPr>
        <w:t>ПК 3.1.</w:t>
      </w:r>
      <w:r w:rsidRPr="00FE6CC1">
        <w:rPr>
          <w:rFonts w:ascii="Times New Roman" w:hAnsi="Times New Roman" w:cs="Times New Roman"/>
          <w:bCs/>
          <w:sz w:val="28"/>
          <w:szCs w:val="24"/>
        </w:rPr>
        <w:t xml:space="preserve"> Планировать и организовывать работу по транспортно-логистическому обслуживанию в сфере грузовых перевозок.</w:t>
      </w:r>
    </w:p>
    <w:p w:rsidR="00FE6CC1" w:rsidRPr="00FE6CC1" w:rsidRDefault="00FE6CC1" w:rsidP="00FE6C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6CC1">
        <w:rPr>
          <w:rFonts w:ascii="Times New Roman" w:hAnsi="Times New Roman" w:cs="Times New Roman"/>
          <w:bCs/>
          <w:sz w:val="28"/>
          <w:szCs w:val="24"/>
        </w:rPr>
        <w:t>ПК 3.2. Планировать и организовывать работу по транспортному обслуживанию в сфере пассажирских перевозок.</w:t>
      </w:r>
    </w:p>
    <w:bookmarkEnd w:id="1"/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795C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21C23" w:rsidRDefault="00421C23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1164F" w:rsidRDefault="0001164F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bookmarkEnd w:id="2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42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01164F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783D37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64F"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5F6A12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783D37" w:rsidRPr="0065420D" w:rsidRDefault="0001164F" w:rsidP="00421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 3.2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EE5A68" w:rsidRPr="00EE5A68">
        <w:rPr>
          <w:rFonts w:ascii="Times New Roman" w:hAnsi="Times New Roman"/>
          <w:i/>
          <w:sz w:val="28"/>
        </w:rPr>
        <w:t>ЭК.ОП.01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3064"/>
        <w:gridCol w:w="1864"/>
        <w:gridCol w:w="2693"/>
        <w:gridCol w:w="1418"/>
        <w:gridCol w:w="2268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E92F20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C7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418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D4543A" w:rsidRDefault="00D4543A" w:rsidP="00C7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C77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9A7833" w:rsidRDefault="0001164F" w:rsidP="00421C2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У1, З2, З3,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У1, 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1.4. Информационное обеспечение в области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9A7833" w:rsidRPr="009A7833" w:rsidRDefault="009A7833" w:rsidP="00EE5A68">
            <w:pPr>
              <w:pStyle w:val="11"/>
              <w:widowControl w:val="0"/>
              <w:ind w:left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9A7833" w:rsidRDefault="0001164F" w:rsidP="00421C2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З7,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706995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2318CD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 №</w:t>
            </w:r>
            <w:r w:rsidR="002318CD"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У2, З1,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706995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</w:t>
            </w:r>
            <w:r w:rsidR="002318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E92F20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9A7833" w:rsidRPr="0065420D" w:rsidRDefault="005F1B75" w:rsidP="002318CD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У2, З8, </w:t>
            </w:r>
          </w:p>
          <w:p w:rsidR="009A7833" w:rsidRPr="009A7833" w:rsidRDefault="009A7833" w:rsidP="009A7833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9A7833">
              <w:rPr>
                <w:rFonts w:ascii="Times New Roman" w:hAnsi="Times New Roman"/>
                <w:i/>
                <w:sz w:val="24"/>
                <w:szCs w:val="24"/>
              </w:rPr>
              <w:t>ОК 01, ОК 02, ОК 07,</w:t>
            </w:r>
          </w:p>
          <w:p w:rsidR="005F1B75" w:rsidRPr="005E14D4" w:rsidRDefault="0001164F" w:rsidP="00421C23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01164F">
              <w:rPr>
                <w:rFonts w:ascii="Times New Roman" w:hAnsi="Times New Roman"/>
                <w:i/>
                <w:sz w:val="24"/>
                <w:szCs w:val="24"/>
              </w:rPr>
              <w:t>ПК 2.2, ПК 3.1, ПК 3.2</w:t>
            </w:r>
          </w:p>
        </w:tc>
        <w:tc>
          <w:tcPr>
            <w:tcW w:w="1418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6E0777" w:rsidRDefault="00DD62BE" w:rsidP="00FD5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6E0777" w:rsidRPr="006E0777">
        <w:rPr>
          <w:rFonts w:ascii="Times New Roman" w:hAnsi="Times New Roman" w:cs="Times New Roman"/>
          <w:sz w:val="28"/>
          <w:szCs w:val="28"/>
        </w:rPr>
        <w:t>ОК 01, ОК 02, ОК 07,</w:t>
      </w:r>
      <w:r w:rsid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01164F">
        <w:rPr>
          <w:rFonts w:ascii="Times New Roman" w:hAnsi="Times New Roman" w:cs="Times New Roman"/>
          <w:sz w:val="28"/>
          <w:szCs w:val="28"/>
        </w:rPr>
        <w:t>ПК 2</w:t>
      </w:r>
      <w:r w:rsidR="006E0777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6E0777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6E0777" w:rsidRPr="006E0777">
        <w:rPr>
          <w:rFonts w:ascii="Times New Roman" w:hAnsi="Times New Roman" w:cs="Times New Roman"/>
          <w:sz w:val="28"/>
          <w:szCs w:val="28"/>
        </w:rPr>
        <w:t>.</w:t>
      </w:r>
      <w:r w:rsidR="006E0777">
        <w:rPr>
          <w:rFonts w:ascii="Times New Roman" w:hAnsi="Times New Roman" w:cs="Times New Roman"/>
          <w:sz w:val="28"/>
          <w:szCs w:val="28"/>
        </w:rPr>
        <w:t>2</w:t>
      </w:r>
      <w:r w:rsidR="0001164F">
        <w:rPr>
          <w:rFonts w:ascii="Times New Roman" w:hAnsi="Times New Roman" w:cs="Times New Roman"/>
          <w:sz w:val="28"/>
          <w:szCs w:val="28"/>
        </w:rPr>
        <w:t>.</w:t>
      </w:r>
    </w:p>
    <w:p w:rsidR="006E0777" w:rsidRPr="00E43044" w:rsidRDefault="006E0777" w:rsidP="006E077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не допускается к защите отчета. 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 профессиональной деятельностью»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pStyle w:val="a8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 помощью каких средств связи субъекты передают информацию об актах незаконного вмешательства.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4A79DD">
      <w:pPr>
        <w:pStyle w:val="ConsPlusNonformat"/>
        <w:numPr>
          <w:ilvl w:val="1"/>
          <w:numId w:val="3"/>
        </w:numPr>
        <w:tabs>
          <w:tab w:val="left" w:pos="127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 согласно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2.1.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>3. 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При отсутствии полной информации об угрозах совершения и о совершении актов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незаконного вмешательства на объектах транспортной инфраструктуры и транспортных 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аудио-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14.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улица,дом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Реестровый номер категорированного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Адрес местонахождения ОТИ  (субъект  Российской Федерации, индекс, край,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в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на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8.1. Голос передавшего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посредственный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N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└─┴─┴─┴─┴─┴─┴─┴─┘                           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Название пассажирского поезда, состава (если имеется):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Реестровый номер категорированного ТС:       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пикета,номера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17. Скорость ТС:                        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└─┘                     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25. Тип груза на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28. Вес поезда в т: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22"/>
      <w:bookmarkEnd w:id="16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81"/>
      </w:tblGrid>
      <w:tr w:rsidR="006E0777" w:rsidRPr="006E0777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предпринимаемых и предпринятых мерах при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информации об угрозе совершения АНВ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обеспечения транспортной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предупреждению реализации угрозы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1167"/>
      </w:tblGrid>
      <w:tr w:rsidR="006E0777" w:rsidRPr="006E0777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возможной: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Сведения о предпринимаемых и предпринятых мерах при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в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транспортного средства в соответствии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на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ТС по ликвидации последствий совершения АНВ и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погибших или получивших ущерб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здоровью: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ликвидации последствий совершения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385"/>
        <w:gridCol w:w="9"/>
        <w:gridCol w:w="8"/>
        <w:gridCol w:w="14"/>
        <w:gridCol w:w="434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Наличие фонограммы: да / нет        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8.1. Голос передавшего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посредственный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разработки планов обеспечения транспортной безопасности объектов транспортной инфраструктуры и транспортных средств железнодорожного транспорта».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Кем разрабатывается и утверждается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какой срок принимается решение об утверждении План обеспечения транспортной безопасности  либо об отказе в его утверждении и в каком виде оно оформляется.</w:t>
      </w:r>
    </w:p>
    <w:p w:rsidR="006E0777" w:rsidRPr="006E0777" w:rsidRDefault="006E0777" w:rsidP="004A79DD">
      <w:pPr>
        <w:pStyle w:val="a8"/>
        <w:numPr>
          <w:ilvl w:val="0"/>
          <w:numId w:val="5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скольких экземплярах и на каких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 непосредственно связана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вмешательства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средств в зону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в зону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14) о порядке выдачи документов, дающих основание для прохода (проезда) на объект транспортной инфраструктуры, в/на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15) порядке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17) порядке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18) порядке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20)порядке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«Порядок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вмешательства»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работы: 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пассажиров на вопросы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64F" w:rsidRPr="006E0777" w:rsidRDefault="000F33BF" w:rsidP="0001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4F">
        <w:rPr>
          <w:rFonts w:ascii="Times New Roman" w:hAnsi="Times New Roman" w:cs="Times New Roman"/>
          <w:sz w:val="28"/>
          <w:szCs w:val="28"/>
        </w:rPr>
        <w:t>ПК 2</w:t>
      </w:r>
      <w:r w:rsidR="0001164F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01164F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01164F">
        <w:rPr>
          <w:rFonts w:ascii="Times New Roman" w:hAnsi="Times New Roman" w:cs="Times New Roman"/>
          <w:sz w:val="28"/>
          <w:szCs w:val="28"/>
        </w:rPr>
        <w:t>3</w:t>
      </w:r>
      <w:r w:rsidR="0001164F" w:rsidRPr="006E0777">
        <w:rPr>
          <w:rFonts w:ascii="Times New Roman" w:hAnsi="Times New Roman" w:cs="Times New Roman"/>
          <w:sz w:val="28"/>
          <w:szCs w:val="28"/>
        </w:rPr>
        <w:t>.</w:t>
      </w:r>
      <w:r w:rsidR="0001164F">
        <w:rPr>
          <w:rFonts w:ascii="Times New Roman" w:hAnsi="Times New Roman" w:cs="Times New Roman"/>
          <w:sz w:val="28"/>
          <w:szCs w:val="28"/>
        </w:rPr>
        <w:t>2.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2D" w:rsidRDefault="00E6552D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812A1" w:rsidRPr="006E0777" w:rsidRDefault="005F020C" w:rsidP="00681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A1">
        <w:rPr>
          <w:rFonts w:ascii="Times New Roman" w:hAnsi="Times New Roman" w:cs="Times New Roman"/>
          <w:sz w:val="28"/>
          <w:szCs w:val="28"/>
        </w:rPr>
        <w:t>ПК 2</w:t>
      </w:r>
      <w:r w:rsidR="006812A1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812A1">
        <w:rPr>
          <w:rFonts w:ascii="Times New Roman" w:hAnsi="Times New Roman" w:cs="Times New Roman"/>
          <w:sz w:val="28"/>
          <w:szCs w:val="28"/>
        </w:rPr>
        <w:t>3</w:t>
      </w:r>
      <w:r w:rsidR="006812A1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812A1">
        <w:rPr>
          <w:rFonts w:ascii="Times New Roman" w:hAnsi="Times New Roman" w:cs="Times New Roman"/>
          <w:sz w:val="28"/>
          <w:szCs w:val="28"/>
        </w:rPr>
        <w:t>3</w:t>
      </w:r>
      <w:r w:rsidR="006812A1" w:rsidRPr="006E0777">
        <w:rPr>
          <w:rFonts w:ascii="Times New Roman" w:hAnsi="Times New Roman" w:cs="Times New Roman"/>
          <w:sz w:val="28"/>
          <w:szCs w:val="28"/>
        </w:rPr>
        <w:t>.</w:t>
      </w:r>
      <w:r w:rsidR="006812A1">
        <w:rPr>
          <w:rFonts w:ascii="Times New Roman" w:hAnsi="Times New Roman" w:cs="Times New Roman"/>
          <w:sz w:val="28"/>
          <w:szCs w:val="28"/>
        </w:rPr>
        <w:t>2.</w:t>
      </w:r>
    </w:p>
    <w:p w:rsidR="005F020C" w:rsidRPr="005F020C" w:rsidRDefault="005F020C" w:rsidP="006812A1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3. Моя роль как ответственного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A7C28" w:rsidRPr="006E0777" w:rsidRDefault="00036E64" w:rsidP="006A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ОК 01, ОК 02, ОК 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C28">
        <w:rPr>
          <w:rFonts w:ascii="Times New Roman" w:hAnsi="Times New Roman" w:cs="Times New Roman"/>
          <w:sz w:val="28"/>
          <w:szCs w:val="28"/>
        </w:rPr>
        <w:t>ПК 2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>.</w:t>
      </w:r>
      <w:r w:rsidR="006A7C28">
        <w:rPr>
          <w:rFonts w:ascii="Times New Roman" w:hAnsi="Times New Roman" w:cs="Times New Roman"/>
          <w:sz w:val="28"/>
          <w:szCs w:val="28"/>
        </w:rPr>
        <w:t>2.</w:t>
      </w:r>
    </w:p>
    <w:p w:rsidR="00036E64" w:rsidRPr="00036E64" w:rsidRDefault="00036E64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036E64" w:rsidRPr="00036E64" w:rsidRDefault="00036E64" w:rsidP="00036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lastRenderedPageBreak/>
        <w:t>«3»  - 8-5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40F91" w:rsidRP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6E0777" w:rsidRDefault="006E0777" w:rsidP="006E0777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разработки планов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30.Утверждение плана обеспечения транспортной безопасности объектов транспортной инфраструктуры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Pr="00DC4FAB" w:rsidRDefault="00DC4FAB" w:rsidP="00DC4F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2. 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7C28" w:rsidRPr="006E0777" w:rsidRDefault="0024056F" w:rsidP="006A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ОК 01, ОК 02, ОК 07,</w:t>
      </w:r>
      <w:r>
        <w:rPr>
          <w:rFonts w:ascii="Times New Roman" w:hAnsi="Times New Roman"/>
          <w:sz w:val="28"/>
          <w:szCs w:val="28"/>
        </w:rPr>
        <w:t xml:space="preserve"> </w:t>
      </w:r>
      <w:r w:rsidR="006A7C28">
        <w:rPr>
          <w:rFonts w:ascii="Times New Roman" w:hAnsi="Times New Roman" w:cs="Times New Roman"/>
          <w:sz w:val="28"/>
          <w:szCs w:val="28"/>
        </w:rPr>
        <w:t>ПК 2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.2,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 xml:space="preserve">.1, ПК </w:t>
      </w:r>
      <w:r w:rsidR="006A7C28">
        <w:rPr>
          <w:rFonts w:ascii="Times New Roman" w:hAnsi="Times New Roman" w:cs="Times New Roman"/>
          <w:sz w:val="28"/>
          <w:szCs w:val="28"/>
        </w:rPr>
        <w:t>3</w:t>
      </w:r>
      <w:r w:rsidR="006A7C28" w:rsidRPr="006E0777">
        <w:rPr>
          <w:rFonts w:ascii="Times New Roman" w:hAnsi="Times New Roman" w:cs="Times New Roman"/>
          <w:sz w:val="28"/>
          <w:szCs w:val="28"/>
        </w:rPr>
        <w:t>.</w:t>
      </w:r>
      <w:r w:rsidR="006A7C28">
        <w:rPr>
          <w:rFonts w:ascii="Times New Roman" w:hAnsi="Times New Roman" w:cs="Times New Roman"/>
          <w:sz w:val="28"/>
          <w:szCs w:val="28"/>
        </w:rPr>
        <w:t>2.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DC4FAB" w:rsidTr="00DC4FAB">
        <w:tc>
          <w:tcPr>
            <w:tcW w:w="709" w:type="dxa"/>
          </w:tcPr>
          <w:p w:rsidR="00DC4FAB" w:rsidRPr="00DC4FAB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/>
      </w:tblPr>
      <w:tblGrid>
        <w:gridCol w:w="392"/>
        <w:gridCol w:w="9767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7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1.Объекты и субъекты транспортной инфраструктуры.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Перевозчик. Правоспособность и дееспособность перевозчика.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планов обеспечения транспортной безопасности объектов транспортной инфраструктуры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Приволжский 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досмотра пассажиров, ручной клади и грузов: ручной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стационарный многозонный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</w:t>
            </w:r>
          </w:p>
          <w:p w:rsidR="00DC4FAB" w:rsidRPr="00DC4FAB" w:rsidRDefault="00DC4FAB" w:rsidP="00DC4FAB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средства радиационного контроля.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DC4FAB" w:rsidTr="004A4F2F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Взрывозащитные средства.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Акт незаконного вмешательства, его основные признаки</w:t>
            </w:r>
            <w:r w:rsidRPr="00DC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№17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Объекты и субъекты транспортной инфраструктуры.</w:t>
            </w:r>
          </w:p>
        </w:tc>
      </w:tr>
      <w:tr w:rsidR="00DC4FAB" w:rsidRPr="00DC4FAB" w:rsidTr="004A4F2F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70461A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="00DC4FAB"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4A4F2F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№18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09"/>
        <w:gridCol w:w="9781"/>
      </w:tblGrid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DC4FAB" w:rsidTr="004A4F2F">
        <w:tc>
          <w:tcPr>
            <w:tcW w:w="709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№19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№20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№21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№22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№23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разработки и утверждения планов обеспечения транспортной безопасности объектов транспортной инфраструктуры и транспортных средств. </w:t>
            </w:r>
          </w:p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№24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Цели и задачи обеспечения транспортной безопасности.</w:t>
            </w:r>
          </w:p>
        </w:tc>
      </w:tr>
      <w:tr w:rsidR="00DC4FAB" w:rsidRPr="00DC4FAB" w:rsidTr="00DC4FAB">
        <w:tc>
          <w:tcPr>
            <w:tcW w:w="392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F2F" w:rsidRPr="00DC4FAB" w:rsidRDefault="004A4F2F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№25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Федеральное агентство железнодорожного транспорта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t>«</w:t>
      </w:r>
      <w:r w:rsidR="007046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Приволжский</w:t>
      </w:r>
      <w:r w:rsidRPr="00DC4FAB">
        <w:rPr>
          <w:rFonts w:ascii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DC4FAB" w:rsidRPr="00DC4FAB" w:rsidTr="00DC4FAB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 и математических дисциплин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от «___» __________ 20__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 Ф.И.О.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Билет №26</w:t>
            </w:r>
          </w:p>
          <w:p w:rsidR="00DC4FAB" w:rsidRPr="00DC4FA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ЭК.ОП.01.</w:t>
            </w: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безопасность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для специальности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:rsidR="00DC4FAB" w:rsidRPr="00DC4FA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C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учебного отдела 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_________________ Ф.И.О.</w:t>
            </w:r>
          </w:p>
          <w:p w:rsidR="00DC4FAB" w:rsidRP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«____»___________ 20 __ г.</w:t>
            </w: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AB" w:rsidRPr="00DC4FA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/>
      </w:tblPr>
      <w:tblGrid>
        <w:gridCol w:w="534"/>
        <w:gridCol w:w="9781"/>
      </w:tblGrid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DC4FAB" w:rsidTr="00DC4FAB">
        <w:tc>
          <w:tcPr>
            <w:tcW w:w="534" w:type="dxa"/>
          </w:tcPr>
          <w:p w:rsidR="00DC4FAB" w:rsidRPr="00DC4F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C4FAB" w:rsidRPr="00DC4F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AB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0F508D" w:rsidRDefault="00DC4FAB" w:rsidP="00DC4FAB">
      <w:pPr>
        <w:jc w:val="both"/>
      </w:pPr>
    </w:p>
    <w:sectPr w:rsidR="00DC4FAB" w:rsidRPr="000F508D" w:rsidSect="00F37C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70" w:rsidRDefault="00167D70" w:rsidP="00F37C7C">
      <w:pPr>
        <w:spacing w:after="0" w:line="240" w:lineRule="auto"/>
      </w:pPr>
      <w:r>
        <w:separator/>
      </w:r>
    </w:p>
  </w:endnote>
  <w:endnote w:type="continuationSeparator" w:id="0">
    <w:p w:rsidR="00167D70" w:rsidRDefault="00167D70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A9" w:rsidRDefault="006356CF">
    <w:pPr>
      <w:pStyle w:val="a6"/>
      <w:spacing w:line="12" w:lineRule="auto"/>
      <w:rPr>
        <w:sz w:val="19"/>
      </w:rPr>
    </w:pPr>
    <w:r w:rsidRPr="006356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2536A9" w:rsidRDefault="006356CF">
                <w:pPr>
                  <w:pStyle w:val="a6"/>
                  <w:spacing w:before="10"/>
                  <w:ind w:left="60"/>
                </w:pPr>
                <w:fldSimple w:instr="PAGE">
                  <w:r w:rsidR="00206AB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A9" w:rsidRPr="00816110" w:rsidRDefault="006356CF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2536A9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206AB3">
      <w:rPr>
        <w:rFonts w:ascii="GOST type B" w:hAnsi="GOST type B"/>
        <w:i/>
        <w:noProof/>
        <w:color w:val="000000"/>
      </w:rPr>
      <w:t>55</w:t>
    </w:r>
    <w:r w:rsidRPr="00816110">
      <w:rPr>
        <w:rFonts w:ascii="GOST type B" w:hAnsi="GOST type B"/>
        <w:i/>
        <w:color w:val="000000"/>
      </w:rPr>
      <w:fldChar w:fldCharType="end"/>
    </w:r>
  </w:p>
  <w:p w:rsidR="002536A9" w:rsidRDefault="002536A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70" w:rsidRDefault="00167D70" w:rsidP="00F37C7C">
      <w:pPr>
        <w:spacing w:after="0" w:line="240" w:lineRule="auto"/>
      </w:pPr>
      <w:r>
        <w:separator/>
      </w:r>
    </w:p>
  </w:footnote>
  <w:footnote w:type="continuationSeparator" w:id="0">
    <w:p w:rsidR="00167D70" w:rsidRDefault="00167D70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0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164F"/>
    <w:rsid w:val="00036E64"/>
    <w:rsid w:val="00076D0D"/>
    <w:rsid w:val="00077798"/>
    <w:rsid w:val="000F33BF"/>
    <w:rsid w:val="00131A01"/>
    <w:rsid w:val="0013445C"/>
    <w:rsid w:val="00167D70"/>
    <w:rsid w:val="00182186"/>
    <w:rsid w:val="001A163A"/>
    <w:rsid w:val="00206AB3"/>
    <w:rsid w:val="00223E8D"/>
    <w:rsid w:val="002318CD"/>
    <w:rsid w:val="00237D95"/>
    <w:rsid w:val="0024056F"/>
    <w:rsid w:val="002469A1"/>
    <w:rsid w:val="002536A9"/>
    <w:rsid w:val="00287781"/>
    <w:rsid w:val="002A4DA9"/>
    <w:rsid w:val="002B231D"/>
    <w:rsid w:val="002E5252"/>
    <w:rsid w:val="002F4CD8"/>
    <w:rsid w:val="0031686E"/>
    <w:rsid w:val="00362040"/>
    <w:rsid w:val="0039185A"/>
    <w:rsid w:val="003C5DD7"/>
    <w:rsid w:val="0040256D"/>
    <w:rsid w:val="0040313A"/>
    <w:rsid w:val="00407650"/>
    <w:rsid w:val="00421C23"/>
    <w:rsid w:val="00425803"/>
    <w:rsid w:val="00442C00"/>
    <w:rsid w:val="004A4F2F"/>
    <w:rsid w:val="004A79DD"/>
    <w:rsid w:val="004C795C"/>
    <w:rsid w:val="004F354D"/>
    <w:rsid w:val="004F79BC"/>
    <w:rsid w:val="00516018"/>
    <w:rsid w:val="00554468"/>
    <w:rsid w:val="005563A9"/>
    <w:rsid w:val="00595A1D"/>
    <w:rsid w:val="005C641E"/>
    <w:rsid w:val="005E0229"/>
    <w:rsid w:val="005F020C"/>
    <w:rsid w:val="005F1B75"/>
    <w:rsid w:val="006071E6"/>
    <w:rsid w:val="00614BEE"/>
    <w:rsid w:val="00634779"/>
    <w:rsid w:val="006356CF"/>
    <w:rsid w:val="006812A1"/>
    <w:rsid w:val="006A7C28"/>
    <w:rsid w:val="006B25EE"/>
    <w:rsid w:val="006E0777"/>
    <w:rsid w:val="006E35F7"/>
    <w:rsid w:val="006F6849"/>
    <w:rsid w:val="0070461A"/>
    <w:rsid w:val="00706995"/>
    <w:rsid w:val="0071031D"/>
    <w:rsid w:val="007175FD"/>
    <w:rsid w:val="00723015"/>
    <w:rsid w:val="0072495A"/>
    <w:rsid w:val="00756387"/>
    <w:rsid w:val="00783D37"/>
    <w:rsid w:val="007B227A"/>
    <w:rsid w:val="007D7E6D"/>
    <w:rsid w:val="007E152B"/>
    <w:rsid w:val="007F26A6"/>
    <w:rsid w:val="00840F91"/>
    <w:rsid w:val="0085542D"/>
    <w:rsid w:val="00863347"/>
    <w:rsid w:val="008A6E97"/>
    <w:rsid w:val="008B5F85"/>
    <w:rsid w:val="008D6879"/>
    <w:rsid w:val="008D6C8D"/>
    <w:rsid w:val="00914D90"/>
    <w:rsid w:val="0092729C"/>
    <w:rsid w:val="0095240E"/>
    <w:rsid w:val="0099083E"/>
    <w:rsid w:val="009A7833"/>
    <w:rsid w:val="009B3E4D"/>
    <w:rsid w:val="009C11C4"/>
    <w:rsid w:val="009D03D7"/>
    <w:rsid w:val="009E471D"/>
    <w:rsid w:val="009F6A9E"/>
    <w:rsid w:val="00A0016D"/>
    <w:rsid w:val="00A16072"/>
    <w:rsid w:val="00A33CF6"/>
    <w:rsid w:val="00A56F80"/>
    <w:rsid w:val="00AA5B16"/>
    <w:rsid w:val="00AB685D"/>
    <w:rsid w:val="00AD6EE7"/>
    <w:rsid w:val="00AE4FF6"/>
    <w:rsid w:val="00B022AC"/>
    <w:rsid w:val="00B43458"/>
    <w:rsid w:val="00B535A8"/>
    <w:rsid w:val="00B627CD"/>
    <w:rsid w:val="00B82AA9"/>
    <w:rsid w:val="00BB4804"/>
    <w:rsid w:val="00BC11D5"/>
    <w:rsid w:val="00BF337A"/>
    <w:rsid w:val="00C065BD"/>
    <w:rsid w:val="00C155EF"/>
    <w:rsid w:val="00C25116"/>
    <w:rsid w:val="00C3526A"/>
    <w:rsid w:val="00C60581"/>
    <w:rsid w:val="00C77D4D"/>
    <w:rsid w:val="00CA630A"/>
    <w:rsid w:val="00CC0696"/>
    <w:rsid w:val="00D16C07"/>
    <w:rsid w:val="00D23447"/>
    <w:rsid w:val="00D25EC2"/>
    <w:rsid w:val="00D43C49"/>
    <w:rsid w:val="00D444A2"/>
    <w:rsid w:val="00D4543A"/>
    <w:rsid w:val="00D47A31"/>
    <w:rsid w:val="00DA2036"/>
    <w:rsid w:val="00DC4FAB"/>
    <w:rsid w:val="00DD12B1"/>
    <w:rsid w:val="00DD62BE"/>
    <w:rsid w:val="00DE3246"/>
    <w:rsid w:val="00DE58DC"/>
    <w:rsid w:val="00E25391"/>
    <w:rsid w:val="00E6552D"/>
    <w:rsid w:val="00E92F20"/>
    <w:rsid w:val="00EA6B4D"/>
    <w:rsid w:val="00EE5A68"/>
    <w:rsid w:val="00EE6BA5"/>
    <w:rsid w:val="00EF2512"/>
    <w:rsid w:val="00F16B18"/>
    <w:rsid w:val="00F270F5"/>
    <w:rsid w:val="00F37C7C"/>
    <w:rsid w:val="00F5113B"/>
    <w:rsid w:val="00F53CEC"/>
    <w:rsid w:val="00F74E38"/>
    <w:rsid w:val="00F93B1A"/>
    <w:rsid w:val="00F976CD"/>
    <w:rsid w:val="00FD51AA"/>
    <w:rsid w:val="00FD599D"/>
    <w:rsid w:val="00FE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82DFCC0589FF7D666512C23F3750DEF909823141A98C8A8676F5858374E424D77FB35DD7A7DCU7h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2DFCC0589FF7D666512C23F3750DEF101843340A0D1808E2FF987847BBB33D036BF5CD7A7DD76U2h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205F-2329-402C-9761-4BE055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13747</Words>
  <Characters>78358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64</cp:revision>
  <dcterms:created xsi:type="dcterms:W3CDTF">2023-04-08T14:42:00Z</dcterms:created>
  <dcterms:modified xsi:type="dcterms:W3CDTF">2025-06-06T15:43:00Z</dcterms:modified>
</cp:coreProperties>
</file>