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D9F7" w14:textId="77777777" w:rsidR="00F54405" w:rsidRPr="00F54405" w:rsidRDefault="00F54405" w:rsidP="00F54405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ОЦЕНКА КАЧЕСТВА ОСВОЕНИЯ ПРОГРАММЫ</w:t>
      </w:r>
    </w:p>
    <w:p w14:paraId="3F28B87D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sz w:val="24"/>
          <w:szCs w:val="24"/>
          <w:lang w:eastAsia="ru-RU"/>
        </w:rPr>
        <w:t>3.1. Форма итоговой аттестации</w:t>
      </w:r>
    </w:p>
    <w:p w14:paraId="183A727F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3.Оценка качества освоения программы</w:t>
      </w:r>
    </w:p>
    <w:p w14:paraId="154738DF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3.1. Форма итоговой аттестации</w:t>
      </w:r>
    </w:p>
    <w:p w14:paraId="685D8878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 проводится в соответствии с действующим Положением об организации дополнительного профессионального образования в СамГУПС (далее – Положение).</w:t>
      </w:r>
    </w:p>
    <w:p w14:paraId="67494C0B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В назначенное время слушатели входят в систему дистанционного обучения (далее – «СДО») и авторизуются под личными логинами и паролями. Идентификация слушателей и контроль за прохождением Защиты посредствам видеоконференцсвязи проводится менеджером группы и членами Комиссии в течении тестирования.</w:t>
      </w:r>
    </w:p>
    <w:p w14:paraId="01F723C8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Итоговые аттестационные испытания предназначены для определения теоретической и практической подготовленности слушателя к выполнению нового вида профессиональной деятельности. Итоговая аттестация включает экзамен в форме тестирования и собеседование.</w:t>
      </w:r>
    </w:p>
    <w:p w14:paraId="012464B6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Тестирование производится по вопросам из фонда оценочных средств. Вопросы выбираются случайным порядком. Итоговое тестирование состоит из 40 вопросов, на выполнение отводится 60 минут.</w:t>
      </w:r>
    </w:p>
    <w:p w14:paraId="6C383E4F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По итогам тестирования выставляются следующие оценки:</w:t>
      </w:r>
    </w:p>
    <w:p w14:paraId="44BB4345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«Отлично» - при правильном ответе на 36 и более вопросов;</w:t>
      </w:r>
    </w:p>
    <w:p w14:paraId="5F108E59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«хорошо» - при правильном ответе на 28-35 вопросов;</w:t>
      </w:r>
    </w:p>
    <w:p w14:paraId="1931D5D5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«удовлетворительно» - при правильном ответе на 24-27 вопросов;</w:t>
      </w:r>
    </w:p>
    <w:p w14:paraId="27E51CA1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«не удовлетворительно» - при правильном ответе менее чем на 24 вопроса.</w:t>
      </w:r>
    </w:p>
    <w:p w14:paraId="1B881492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Тестирование производится в присутствии комиссии из трех – пяти членов, во главе с председателем. После окончания тестирование проводится собеседование со слушателем, по итогам которого комиссия может утвердить оценку, либо повысить ее.</w:t>
      </w:r>
    </w:p>
    <w:p w14:paraId="4E89F4D6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Успешно выполненное тестирование свидетельствует о том, что выпускник готов к ведению профессиональной деятельности в области путевого хозяйства. Получение положительной оценки, подтверждая профессиональные признаки слушателя, его умение отстаивать научно-обоснованные и практически применимые разработки, является основанием для присвоения права ведения нового вида профессиональной деятельности. </w:t>
      </w:r>
    </w:p>
    <w:p w14:paraId="1D82A0BE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3-х человек путем объективной и независимой оценки качества подготовки слушателей. К итоговой аттестации допускаются слушатели, освоившие учебный план в полном объеме.</w:t>
      </w:r>
    </w:p>
    <w:p w14:paraId="375D5B30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тестирования в системе «Moodle» (режим доступа: http://do.samgups.ru/moodle/) количество тестовых заданий и время задается системой. Во время проведения тестирования, обучающиеся могут пользоваться программой дисциплины, справочной литературой, калькулятором. Результат каждого обучающегося оценивается в соответствии с универсальной шкалой, в зависимости от набранных процентов, слушателю выставляется оценка: на менее 75 % – «неудовлетворительно», 75- 84,9% – «удовлетворительно», 84,9 - 99,9% – «хорошо», 100% – «отлично».</w:t>
      </w:r>
    </w:p>
    <w:p w14:paraId="138002D4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sz w:val="24"/>
          <w:szCs w:val="24"/>
          <w:lang w:eastAsia="ru-RU"/>
        </w:rPr>
        <w:t>3.2. Оценочные материалы</w:t>
      </w:r>
    </w:p>
    <w:p w14:paraId="30F92FF2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Оценочные материалы для проведения промежуточной аттестации обучающихся размещены в информационно-образовательной среде </w:t>
      </w:r>
      <w:hyperlink r:id="rId5" w:history="1">
        <w:r w:rsidRPr="00F544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https://idolms.samgups.ru</w:t>
        </w:r>
      </w:hyperlink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. Примеры тестовых заданий для промежуточной аттестации.</w:t>
      </w:r>
    </w:p>
    <w:p w14:paraId="62B121D7" w14:textId="77777777" w:rsidR="00F54405" w:rsidRPr="00F54405" w:rsidRDefault="00F54405" w:rsidP="00F54405">
      <w:pPr>
        <w:tabs>
          <w:tab w:val="left" w:pos="708"/>
          <w:tab w:val="left" w:pos="2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6C2785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1. Какой орган государственной власти утверждает межотраслевые правила по охране труда и межотраслевые типовые инструкции по охране труда:</w:t>
      </w:r>
    </w:p>
    <w:p w14:paraId="1035012C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1) Министерство труда и социального развития РФ</w:t>
      </w:r>
    </w:p>
    <w:p w14:paraId="5C7A9F05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2) Федеральные органы исполнительной власти</w:t>
      </w:r>
    </w:p>
    <w:p w14:paraId="673358D5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F54405">
        <w:rPr>
          <w:rFonts w:eastAsia="Times New Roman"/>
          <w:sz w:val="24"/>
          <w:szCs w:val="24"/>
          <w:lang w:eastAsia="ru-RU"/>
        </w:rPr>
        <w:t xml:space="preserve"> </w:t>
      </w: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Федеральные органы надзора в соответствии, с их компетенцией</w:t>
      </w:r>
    </w:p>
    <w:p w14:paraId="37E3D14D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4) Министерство здравоохранения и социального обеспечения РФ</w:t>
      </w:r>
    </w:p>
    <w:p w14:paraId="39E13C5B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5508B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2. Конвенция 1981 года о безопасности и гигиене труда и производственной среде (№155) в нашей стране была ратифицирована федеральным законом:</w:t>
      </w:r>
    </w:p>
    <w:p w14:paraId="627FA409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1) </w:t>
      </w:r>
      <w:r w:rsidRPr="00F5440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от 11.04.98 №58-ФЗ</w:t>
      </w:r>
    </w:p>
    <w:p w14:paraId="55C4C84E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2) от 30.01.2001 </w:t>
      </w: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197-ФЗ</w:t>
      </w:r>
    </w:p>
    <w:p w14:paraId="79454CC5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3) от 6.10.2003 </w:t>
      </w: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131-ФЗ</w:t>
      </w:r>
    </w:p>
    <w:p w14:paraId="729F2C1B" w14:textId="77777777" w:rsidR="00F54405" w:rsidRPr="00F54405" w:rsidRDefault="00F54405" w:rsidP="00F5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4) от 4.10.2010 </w:t>
      </w: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265-ФЗ</w:t>
      </w:r>
    </w:p>
    <w:p w14:paraId="5F6C027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A7766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3. Функции органов местного самоуправления по управлению охраной труда:</w:t>
      </w:r>
    </w:p>
    <w:p w14:paraId="2C765231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1) координация работы служб охраны труда организаций на территории муниципального образования;</w:t>
      </w:r>
    </w:p>
    <w:p w14:paraId="523BF68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2) осуществление проверок состояния охраны труда в организациях на территории муниципального образования и составление актов по их результатам;</w:t>
      </w:r>
    </w:p>
    <w:p w14:paraId="616E1D0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3) разработка и реализация территориальных программ по улучшению условий и охраны труда;</w:t>
      </w:r>
    </w:p>
    <w:p w14:paraId="585D1413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4) определение расходов на охрану труда за счет средств местного бюджета;</w:t>
      </w:r>
    </w:p>
    <w:p w14:paraId="05D7F80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5) разработка мер экономического стимулирования деятельности работодателей по обеспечению безопасных условий труда.</w:t>
      </w:r>
    </w:p>
    <w:p w14:paraId="4952867F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научно-исследовательских работ в области охраны труда и обеспечение распространения передового отечественного и зарубежного опыта работы по улучшению условий и охраны труда</w:t>
      </w:r>
    </w:p>
    <w:p w14:paraId="7DFE9631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4D0C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4. Концепция в области охраны труда должна включать принципы и цели, выполнение которых организация принимает на себя:</w:t>
      </w:r>
    </w:p>
    <w:p w14:paraId="41597F2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1) обеспечение безопасности и охрану здоровья всех работников путем предупреждения несчастных случаев и профзаболеваний на производстве;</w:t>
      </w:r>
    </w:p>
    <w:p w14:paraId="21703C2F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2) соблюдение национальных законов и иных нормативных правовых актов, программ по охране труда, коллективных соглашений по охране труда и др.;</w:t>
      </w:r>
    </w:p>
    <w:p w14:paraId="69C1AD51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3) обязательства по проведению консультаций с работниками и привлечению их к активному участию во всех элементах СУ ОТ;</w:t>
      </w:r>
    </w:p>
    <w:p w14:paraId="4622D8E3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4) непрерывное совершенствование функционирования СУОТ.</w:t>
      </w:r>
    </w:p>
    <w:p w14:paraId="41E75BD9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5) распределение обязанностей и ответственности по охране труда между руководством высшего звена и специалистами организации, подразделениями и работниками;</w:t>
      </w:r>
    </w:p>
    <w:p w14:paraId="63BB767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B820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 – это:</w:t>
      </w:r>
    </w:p>
    <w:p w14:paraId="19780A2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система управления охраной труда</w:t>
      </w:r>
    </w:p>
    <w:p w14:paraId="2D2967AF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органы местного самоуправления</w:t>
      </w:r>
    </w:p>
    <w:p w14:paraId="287B7A4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система стандартов безопасности труда</w:t>
      </w:r>
    </w:p>
    <w:p w14:paraId="240F614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типовые инструкции по охране труда</w:t>
      </w:r>
    </w:p>
    <w:p w14:paraId="7D14501C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52488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Основными задачами федеральной инспекции труда являются:</w:t>
      </w:r>
    </w:p>
    <w:p w14:paraId="62B4E404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обеспечение соблюдения и защиты трудовых прав и свобод граждан, включая право на безопасные условия труда</w:t>
      </w:r>
    </w:p>
    <w:p w14:paraId="509C552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 обеспечение соблюдения работодателями трудового законодательства и иных нормативных правовых актов, содержащих нормы трудового права</w:t>
      </w:r>
    </w:p>
    <w:p w14:paraId="187BA1FF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</w:t>
      </w:r>
    </w:p>
    <w:p w14:paraId="5A026B8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4) доведение до сведения соответствующих органов государственной власти фактов нарушений, действий (бездействия) или злоупотреблений, которые не подпадают под действие трудового законодательства и иных нормативных правовых актов, содержащих нормы трудового права</w:t>
      </w:r>
    </w:p>
    <w:p w14:paraId="29E42D94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выявление опасных и вредных производственных факторов и соответствующих им рисков, связанных с прошлыми, настоящими или планируемыми видами деятельности организации;</w:t>
      </w:r>
    </w:p>
    <w:p w14:paraId="31B5533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45632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7. Плановая проверка Федеральной трудовой инспекцией может проводиться не чаще, чем:</w:t>
      </w:r>
    </w:p>
    <w:p w14:paraId="44F8CB2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1) два раза в год</w:t>
      </w:r>
    </w:p>
    <w:p w14:paraId="1796225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2) раз в год</w:t>
      </w:r>
    </w:p>
    <w:p w14:paraId="75AFF33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3) раз в три года</w:t>
      </w:r>
    </w:p>
    <w:p w14:paraId="7A11703F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4) раз в пять лет</w:t>
      </w:r>
    </w:p>
    <w:p w14:paraId="0A0C0BD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2DE5D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8. Если проверка Федеральной трудовой инспекцией внеплановая, то, о ее проведении ГИТ должна уведомить организацию не менее, чем за:</w:t>
      </w:r>
    </w:p>
    <w:p w14:paraId="7AD6E9D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1)24 часа</w:t>
      </w:r>
    </w:p>
    <w:p w14:paraId="21D6495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2)48 часов</w:t>
      </w:r>
    </w:p>
    <w:p w14:paraId="34C8F6F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3)12 часов</w:t>
      </w:r>
    </w:p>
    <w:p w14:paraId="1CB6F91C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sz w:val="24"/>
          <w:szCs w:val="24"/>
          <w:lang w:eastAsia="ru-RU"/>
        </w:rPr>
        <w:t>4)72 часа</w:t>
      </w:r>
    </w:p>
    <w:p w14:paraId="327F746D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2377D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предусматривает: </w:t>
      </w:r>
    </w:p>
    <w:p w14:paraId="1037919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обеспечение социальной защитой застрахованных и экономической заинтересованности субъектов страхования в снижении профессионального риска</w:t>
      </w:r>
    </w:p>
    <w:p w14:paraId="3ED9769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</w:t>
      </w: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возмещение вреда, причиненного жизни и здоровью застрахованного при исполнении им обязанностей по трудовому договору (контракту),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</w:t>
      </w:r>
    </w:p>
    <w:p w14:paraId="37A7812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обеспечение предупредительных мер по сокращению производственного травматизма и профессиональных заболеваний</w:t>
      </w:r>
    </w:p>
    <w:p w14:paraId="3012B08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выплата отпускных для восстановления здоровья после потери трудоспособности</w:t>
      </w:r>
    </w:p>
    <w:p w14:paraId="5809F79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6C3493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Лица, которые имеют право на получение страховых выплат в случае смерти застрахованного в результате наступления страхового случая:</w:t>
      </w:r>
    </w:p>
    <w:p w14:paraId="7F29A14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</w:t>
      </w: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нетрудоспособные лица, состоявшие на иждивении умершего или имевшие ко дню его смерти право на получение от него содержания</w:t>
      </w:r>
    </w:p>
    <w:p w14:paraId="7B1CEB4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</w:t>
      </w:r>
      <w:r w:rsidRPr="00F544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ребенок умершего, родившийся после его смерти</w:t>
      </w:r>
    </w:p>
    <w:p w14:paraId="1F7AA53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лица, состоявшие на иждивении умершего, ставшие нетрудоспособными в течение пяти лет со дня его смерти</w:t>
      </w:r>
    </w:p>
    <w:p w14:paraId="3F1FE44D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4) один из родителей, супруг (супруга) либо другой член семьи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</w:t>
      </w:r>
    </w:p>
    <w:p w14:paraId="45862AD9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лица, осужденные и находящиеся в местах лишения свободы</w:t>
      </w:r>
    </w:p>
    <w:p w14:paraId="4726AE9C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3205601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Возмещение застрахованному морального вреда, причиненного в связи с несчастным случаем на производстве или профессиональным заболеванием, осуществляется:</w:t>
      </w:r>
    </w:p>
    <w:p w14:paraId="13449F9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1) причинителем вреда</w:t>
      </w:r>
    </w:p>
    <w:p w14:paraId="4AAB04AC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работодателем</w:t>
      </w:r>
    </w:p>
    <w:p w14:paraId="1DDF29C1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государством</w:t>
      </w:r>
    </w:p>
    <w:p w14:paraId="1551A0D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 осуществляется</w:t>
      </w:r>
    </w:p>
    <w:p w14:paraId="779415C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14133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504732338"/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Пошаговый порядок проведения специальной оценки условий труда закреплен в:</w:t>
      </w:r>
    </w:p>
    <w:p w14:paraId="2831E72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№426-ФЗ</w:t>
      </w:r>
    </w:p>
    <w:p w14:paraId="1D7D38D5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№249-ФЗ</w:t>
      </w:r>
    </w:p>
    <w:p w14:paraId="67F9F44E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№58-ФЗ</w:t>
      </w:r>
    </w:p>
    <w:p w14:paraId="7B1E45A0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328 ТК РФ</w:t>
      </w:r>
    </w:p>
    <w:bookmarkEnd w:id="0"/>
    <w:p w14:paraId="5361FD8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487F0E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Какой законодательный документ находится на верхней ступени в иерархическом пространстве по охране труда:</w:t>
      </w:r>
    </w:p>
    <w:p w14:paraId="053F39D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Конституция РФ</w:t>
      </w:r>
    </w:p>
    <w:p w14:paraId="6599D8F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Трудовой Кодекс РФ</w:t>
      </w:r>
    </w:p>
    <w:p w14:paraId="5A259E53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Постановления Правительства РФ</w:t>
      </w:r>
    </w:p>
    <w:p w14:paraId="7037B62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Указы Президента</w:t>
      </w:r>
    </w:p>
    <w:p w14:paraId="24532A5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8C2C57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Обязанности работника в области охраны труда:</w:t>
      </w:r>
    </w:p>
    <w:p w14:paraId="0D8DCC31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добросовестно исполнять свои трудовые обязанности, возложенные на него трудовым договором</w:t>
      </w:r>
    </w:p>
    <w:p w14:paraId="13DF2B53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 соблюдать правила внутреннего трудового распорядка;</w:t>
      </w:r>
      <w:bookmarkStart w:id="1" w:name="p379"/>
      <w:bookmarkStart w:id="2" w:name="p381"/>
      <w:bookmarkEnd w:id="1"/>
      <w:bookmarkEnd w:id="2"/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соблюдать трудовую дисциплину</w:t>
      </w:r>
    </w:p>
    <w:p w14:paraId="738DD97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выполнять установленные нормы труда;</w:t>
      </w:r>
      <w:bookmarkStart w:id="3" w:name="p383"/>
      <w:bookmarkEnd w:id="3"/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соблюдать требования по охране труда и обеспечению безопасности труда</w:t>
      </w:r>
    </w:p>
    <w:p w14:paraId="23DD24B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4)обеспечивать безопасность и условия труда, соответствующие государственным нормативным требованиям охраны труда</w:t>
      </w:r>
    </w:p>
    <w:p w14:paraId="75D66302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A13E7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Обязанности работодателя в области охраны труда:</w:t>
      </w:r>
    </w:p>
    <w:p w14:paraId="10E5FCBA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соблюдать трудовое законодательство и иные нормативные правовые акты</w:t>
      </w:r>
    </w:p>
    <w:p w14:paraId="621D2676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2)обеспечивать безопасность и условия труда, соответствующие государственным нормативным требованиям охраны труда;</w:t>
      </w:r>
      <w:bookmarkStart w:id="4" w:name="p409"/>
      <w:bookmarkEnd w:id="4"/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1359743B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</w:t>
      </w:r>
    </w:p>
    <w:p w14:paraId="69CCBC78" w14:textId="77777777" w:rsidR="00F54405" w:rsidRPr="00F54405" w:rsidRDefault="00F54405" w:rsidP="00F544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привлекать работников к </w:t>
      </w:r>
      <w:hyperlink r:id="rId6" w:anchor="p2763" w:tooltip="Текущий документ" w:history="1">
        <w:r w:rsidRPr="00F5440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дисциплинарной</w:t>
        </w:r>
      </w:hyperlink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7" w:anchor="p3505" w:tooltip="Текущий документ" w:history="1">
        <w:r w:rsidRPr="00F5440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материальной</w:t>
        </w:r>
      </w:hyperlink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ответственности в порядке, установленном настоящим Кодексом, иными федеральными законам</w:t>
      </w:r>
      <w:bookmarkStart w:id="5" w:name="p401"/>
      <w:bookmarkStart w:id="6" w:name="p402"/>
      <w:bookmarkEnd w:id="5"/>
      <w:bookmarkEnd w:id="6"/>
      <w:r w:rsidRPr="00F5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</w:p>
    <w:p w14:paraId="0F7E2480" w14:textId="321CB6BA" w:rsidR="004A57FE" w:rsidRPr="00F54405" w:rsidRDefault="004A57FE" w:rsidP="00F54405">
      <w:bookmarkStart w:id="7" w:name="_GoBack"/>
      <w:bookmarkEnd w:id="7"/>
    </w:p>
    <w:sectPr w:rsidR="004A57FE" w:rsidRPr="00F5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6E0C30"/>
    <w:rsid w:val="009949DE"/>
    <w:rsid w:val="009E754C"/>
    <w:rsid w:val="00AC4B10"/>
    <w:rsid w:val="00C1613A"/>
    <w:rsid w:val="00DE2C54"/>
    <w:rsid w:val="00DF05F5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uiPriority w:val="99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tkrf/14_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tkrf/14_39.html" TargetMode="External"/><Relationship Id="rId5" Type="http://schemas.openxmlformats.org/officeDocument/2006/relationships/hyperlink" Target="http://do1.samgups.ru/dp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2025-02-26T18:34:00Z</dcterms:created>
  <dcterms:modified xsi:type="dcterms:W3CDTF">2025-03-10T18:23:00Z</dcterms:modified>
</cp:coreProperties>
</file>