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972" w14:textId="4B5C319B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77777777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A8D90C9" w14:textId="661F6E8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0E39CB9C"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10D6DEDC" w:rsidR="00E56729" w:rsidRPr="007F1C0B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C90E21E" w14:textId="77777777" w:rsidR="00676A8F" w:rsidRDefault="00676A8F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676A8F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3F6D1CB6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57F34C08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Техническое обслуживание и ремонт подвижного состава</w:t>
      </w:r>
    </w:p>
    <w:p w14:paraId="2BF5C884" w14:textId="2BB8A78C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137AA" w:rsidRPr="004137AA">
        <w:rPr>
          <w:rFonts w:ascii="Times New Roman" w:hAnsi="Times New Roman" w:cs="Times New Roman"/>
          <w:sz w:val="24"/>
        </w:rPr>
        <w:t xml:space="preserve">Мукушев, Т.Ш. Разработка технологических процессов, конструкторско-технической и технологической документации (Электроподвижной состав) : учебник / Т. Ш. Мукушев, С. А. Писаренко, Е. А. Попова. — Москва :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>образованию на железнодорожном транспорте», 2018. — 344 с. — 978-5-906938-52-7. — Текст :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>Кузнецов, К.В. Неисправности тормозного оборудования тягового подвижного состава : справочное издание / К. В. Кузнецов, Ю. В. Рязанцев. — Москва : УМЦ ЖДТ, 2023. — 136 с. — 978-5-907695-00-9. — Текст :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>Осинцев, И.А. Механическое оборудование для электровозов : учебное пособие / И. А. Осинцев. — Москва : УМЦ ЖДТ, 2023. — 352 с. — 978-5-907695-16-0. — Текст :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введ.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>«Железнодорожный транспорт» (журнал). Форма доступа: www.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0D27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144C4" w14:textId="77777777" w:rsidR="00286391" w:rsidRPr="004C712E" w:rsidRDefault="0028639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3DD3D11D" w14:textId="77777777" w:rsidR="00286391" w:rsidRPr="004C712E" w:rsidRDefault="002863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263D">
      <w:rPr>
        <w:rStyle w:val="af0"/>
        <w:noProof/>
      </w:rPr>
      <w:t>17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263D">
      <w:rPr>
        <w:rStyle w:val="af0"/>
        <w:noProof/>
      </w:rPr>
      <w:t>21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EED9A" w14:textId="77777777" w:rsidR="00286391" w:rsidRPr="004C712E" w:rsidRDefault="0028639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45FB200" w14:textId="77777777" w:rsidR="00286391" w:rsidRPr="004C712E" w:rsidRDefault="0028639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86391"/>
    <w:rsid w:val="00297A6C"/>
    <w:rsid w:val="002A616A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76A8F"/>
    <w:rsid w:val="006A4EA9"/>
    <w:rsid w:val="006F461A"/>
    <w:rsid w:val="00703830"/>
    <w:rsid w:val="00737232"/>
    <w:rsid w:val="0074201E"/>
    <w:rsid w:val="0077210E"/>
    <w:rsid w:val="00780E94"/>
    <w:rsid w:val="00787935"/>
    <w:rsid w:val="007B52AB"/>
    <w:rsid w:val="007B7273"/>
    <w:rsid w:val="007C632B"/>
    <w:rsid w:val="007D78C8"/>
    <w:rsid w:val="007F1C0B"/>
    <w:rsid w:val="007F263D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A27E5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51DB-EEC6-4D5B-944A-8B01D798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8</cp:revision>
  <dcterms:created xsi:type="dcterms:W3CDTF">2024-04-23T07:28:00Z</dcterms:created>
  <dcterms:modified xsi:type="dcterms:W3CDTF">2025-04-28T12:35:00Z</dcterms:modified>
</cp:coreProperties>
</file>