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6CC" w:rsidRPr="007646CC" w:rsidRDefault="00AB4704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4058D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5319" w:rsidTr="006A7928">
        <w:trPr>
          <w:trHeight w:val="670"/>
        </w:trPr>
        <w:tc>
          <w:tcPr>
            <w:tcW w:w="7526" w:type="dxa"/>
          </w:tcPr>
          <w:p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319" w:rsidTr="006A7928">
        <w:tc>
          <w:tcPr>
            <w:tcW w:w="7526" w:type="dxa"/>
          </w:tcPr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  <w:proofErr w:type="gramEnd"/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218A8">
        <w:rPr>
          <w:rFonts w:ascii="Times New Roman" w:hAnsi="Times New Roman"/>
          <w:sz w:val="24"/>
          <w:szCs w:val="24"/>
        </w:rPr>
        <w:t>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218A8">
        <w:rPr>
          <w:rFonts w:ascii="Times New Roman" w:hAnsi="Times New Roman"/>
          <w:sz w:val="24"/>
          <w:szCs w:val="24"/>
        </w:rPr>
        <w:t>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218A8">
        <w:rPr>
          <w:rFonts w:ascii="Times New Roman" w:hAnsi="Times New Roman"/>
          <w:sz w:val="24"/>
          <w:szCs w:val="24"/>
        </w:rPr>
        <w:t>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3.2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 xml:space="preserve">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1. </w:t>
      </w:r>
      <w:proofErr w:type="gramStart"/>
      <w:r w:rsidRPr="00E637E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15.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16.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7241E4" w:rsidRPr="00F840DA" w:rsidRDefault="00B85319" w:rsidP="00F840D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F84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Правила поведения в условиях угрозы 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. Обеспечение 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Общие сведения о ранах, способах остановки кровотечения и обработки ран.  Порядок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>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B729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729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6C237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<v:fill opacity="0"/>
            <v:textbox inset="0,0,0,0">
              <w:txbxContent>
                <w:p w:rsidR="006C2372" w:rsidRDefault="006C2372" w:rsidP="007241E4"/>
              </w:txbxContent>
            </v:textbox>
            <w10:wrap type="topAndBottom" anchorx="page" anchory="page"/>
          </v:shape>
        </w:pic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Pr="007646CC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7646CC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="00E02AE4" w:rsidRPr="00764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безопасности жизнедеятельности</w:t>
      </w:r>
      <w:r w:rsidR="00E02AE4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7646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6CC">
        <w:rPr>
          <w:rFonts w:ascii="Times New Roman" w:hAnsi="Times New Roman" w:cs="Times New Roman"/>
          <w:sz w:val="28"/>
          <w:szCs w:val="28"/>
        </w:rPr>
        <w:t>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:rsidR="00B85319" w:rsidRPr="007646CC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9C6F49" w:rsidRDefault="00B146F9" w:rsidP="00B85319">
      <w:pPr>
        <w:shd w:val="clear" w:color="auto" w:fill="FFFFFF"/>
        <w:spacing w:after="0"/>
        <w:ind w:firstLine="709"/>
        <w:jc w:val="both"/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r w:rsidR="00E02AE4" w:rsidRPr="007646CC">
        <w:rPr>
          <w:rFonts w:ascii="Times New Roman" w:hAnsi="Times New Roman" w:cs="Times New Roman"/>
          <w:sz w:val="28"/>
          <w:szCs w:val="28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</w:t>
      </w:r>
      <w:proofErr w:type="spellStart"/>
      <w:r w:rsidR="00E02AE4"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E02AE4" w:rsidRPr="007646CC">
        <w:rPr>
          <w:rFonts w:ascii="Times New Roman" w:hAnsi="Times New Roman" w:cs="Times New Roman"/>
          <w:sz w:val="28"/>
          <w:szCs w:val="28"/>
        </w:rPr>
        <w:t xml:space="preserve">, 2022. — 192 с. — ISBN 978-5-406-09732-8. — URL: https://book.ru/book/943656. — Текст: электронный. – Режим доступа: </w:t>
      </w:r>
      <w:hyperlink r:id="rId12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https://book.ru/books/943656</w:t>
        </w:r>
      </w:hyperlink>
    </w:p>
    <w:p w:rsidR="009C6F4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r w:rsidR="002541A1" w:rsidRPr="007646C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Шишкунов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; под редакцией В. С. </w:t>
      </w:r>
      <w:proofErr w:type="spellStart"/>
      <w:r w:rsidR="002541A1" w:rsidRPr="007646CC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  <w:r w:rsidR="002541A1" w:rsidRPr="007646CC">
        <w:rPr>
          <w:rFonts w:ascii="Times New Roman" w:hAnsi="Times New Roman" w:cs="Times New Roman"/>
          <w:sz w:val="28"/>
          <w:szCs w:val="28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</w:t>
      </w:r>
      <w:hyperlink r:id="rId13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http://www.iprbookshop.ru/87788.html</w:t>
        </w:r>
      </w:hyperlink>
      <w:r w:rsidR="002541A1" w:rsidRPr="007646CC">
        <w:rPr>
          <w:rFonts w:ascii="Times New Roman" w:hAnsi="Times New Roman" w:cs="Times New Roman"/>
          <w:sz w:val="28"/>
          <w:szCs w:val="28"/>
        </w:rPr>
        <w:t>.</w:t>
      </w:r>
    </w:p>
    <w:p w:rsidR="00B85319" w:rsidRPr="007646CC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:rsidR="002541A1" w:rsidRPr="007646CC" w:rsidRDefault="002541A1" w:rsidP="009C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В.Ю. Безопасность жизнедеятельности [Электронный ресурс]: учебник /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 В.Ю. — Москва: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2019. — 282 с. — ISBN 978-5-406-06523-5. — URL: https://book.ru/book/929396. — Текст: электронный. – Режим доступа: </w:t>
      </w:r>
      <w:hyperlink r:id="rId14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https://www.book.ru/book/929396</w:t>
        </w:r>
      </w:hyperlink>
    </w:p>
    <w:p w:rsidR="009C6F49" w:rsidRDefault="002541A1" w:rsidP="009C6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7646CC">
        <w:rPr>
          <w:rFonts w:ascii="Times New Roman" w:hAnsi="Times New Roman" w:cs="Times New Roman"/>
          <w:sz w:val="28"/>
          <w:szCs w:val="28"/>
        </w:rPr>
        <w:t>Черепников</w:t>
      </w:r>
      <w:proofErr w:type="spellEnd"/>
      <w:r w:rsidRPr="007646CC">
        <w:rPr>
          <w:rFonts w:ascii="Times New Roman" w:hAnsi="Times New Roman" w:cs="Times New Roman"/>
          <w:sz w:val="28"/>
          <w:szCs w:val="28"/>
        </w:rPr>
        <w:t xml:space="preserve">. – Москва: ФГБУ ДПО «Учебно-методический центр по образованию на железнодорожном транспорте», 2019. – 40 c. – Режим доступа: </w:t>
      </w:r>
      <w:hyperlink r:id="rId15" w:history="1">
        <w:r w:rsidR="009C6F49" w:rsidRPr="008B69D5">
          <w:rPr>
            <w:rStyle w:val="af3"/>
            <w:rFonts w:ascii="Times New Roman" w:hAnsi="Times New Roman" w:cs="Times New Roman"/>
            <w:sz w:val="28"/>
            <w:szCs w:val="28"/>
          </w:rPr>
          <w:t>https://umczdt.ru/books/35/234834/</w:t>
        </w:r>
      </w:hyperlink>
    </w:p>
    <w:p w:rsidR="00B85319" w:rsidRPr="007646CC" w:rsidRDefault="00B85319" w:rsidP="009C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319" w:rsidRPr="007646CC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7646C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</w:t>
      </w:r>
      <w:proofErr w:type="gramStart"/>
      <w:r w:rsidRPr="007646C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646CC">
        <w:rPr>
          <w:rFonts w:ascii="Times New Roman" w:hAnsi="Times New Roman"/>
          <w:sz w:val="28"/>
          <w:szCs w:val="28"/>
        </w:rPr>
        <w:t xml:space="preserve"> индивидуальных заданий (подготовки </w:t>
      </w:r>
      <w:r w:rsidR="002541A1" w:rsidRPr="007646CC">
        <w:rPr>
          <w:rFonts w:ascii="Times New Roman" w:hAnsi="Times New Roman"/>
          <w:sz w:val="28"/>
          <w:szCs w:val="28"/>
        </w:rPr>
        <w:t>рефератов и докладов).</w:t>
      </w:r>
    </w:p>
    <w:p w:rsidR="00B85319" w:rsidRPr="007646CC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, экзамена на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proofErr w:type="gramEnd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снижения вероятности их реализации основы военной службы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</w:t>
            </w:r>
            <w:r w:rsidR="009C6F49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646CC">
        <w:rPr>
          <w:rStyle w:val="12"/>
          <w:rFonts w:ascii="Times New Roman" w:hAnsi="Times New Roman"/>
          <w:b/>
          <w:sz w:val="28"/>
          <w:szCs w:val="28"/>
        </w:rPr>
        <w:t>5.</w:t>
      </w:r>
      <w:r w:rsidR="00290ACF" w:rsidRPr="007646CC">
        <w:rPr>
          <w:rStyle w:val="12"/>
          <w:rFonts w:ascii="Times New Roman" w:hAnsi="Times New Roman"/>
          <w:b/>
          <w:sz w:val="28"/>
          <w:szCs w:val="28"/>
        </w:rPr>
        <w:t xml:space="preserve"> </w:t>
      </w:r>
      <w:r w:rsidRPr="007646CC">
        <w:rPr>
          <w:rStyle w:val="12"/>
          <w:rFonts w:ascii="Times New Roman" w:hAnsi="Times New Roman"/>
          <w:b/>
          <w:sz w:val="28"/>
          <w:szCs w:val="28"/>
        </w:rPr>
        <w:t>ПЕРЕЧЕНЬ ИСПОЛЬЗУЕМЫХ МЕТОДОВ ОБУЧЕНИЯ</w:t>
      </w: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5.1.Пассивные: 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демонстрация учебных фильмов;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рассказ;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тесты;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чтение и опрос.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7646CC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</w:p>
    <w:p w:rsidR="00B85319" w:rsidRPr="007646CC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5.2.Активные и интерактивные: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работа в группах;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учебная дискуссия;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деловые и ролевые игры;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игровые упражнения;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творческие задания;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решение проблемных задач;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анализ конкретных ситуаций;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lastRenderedPageBreak/>
        <w:t>- метод модульного обучения;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практический эксперимент;</w:t>
      </w:r>
    </w:p>
    <w:p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32615E" w:rsidRPr="007646CC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 w:rsidRPr="007646CC" w:rsidSect="000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26" w:rsidRDefault="00D55B26" w:rsidP="00B85319">
      <w:pPr>
        <w:spacing w:after="0" w:line="240" w:lineRule="auto"/>
      </w:pPr>
      <w:r>
        <w:separator/>
      </w:r>
    </w:p>
  </w:endnote>
  <w:endnote w:type="continuationSeparator" w:id="0">
    <w:p w:rsidR="00D55B26" w:rsidRDefault="00D55B26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6C2372" w:rsidRDefault="006C2372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28E">
      <w:rPr>
        <w:noProof/>
      </w:rPr>
      <w:t>8</w:t>
    </w:r>
    <w:r>
      <w:rPr>
        <w:noProof/>
      </w:rPr>
      <w:fldChar w:fldCharType="end"/>
    </w:r>
  </w:p>
  <w:p w:rsidR="006C2372" w:rsidRDefault="006C2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26" w:rsidRDefault="00D55B26" w:rsidP="00B85319">
      <w:pPr>
        <w:spacing w:after="0" w:line="240" w:lineRule="auto"/>
      </w:pPr>
      <w:r>
        <w:separator/>
      </w:r>
    </w:p>
  </w:footnote>
  <w:footnote w:type="continuationSeparator" w:id="0">
    <w:p w:rsidR="00D55B26" w:rsidRDefault="00D55B26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72" w:rsidRDefault="006C2372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319"/>
    <w:rsid w:val="000218A8"/>
    <w:rsid w:val="000277E1"/>
    <w:rsid w:val="00034AFA"/>
    <w:rsid w:val="000A6C71"/>
    <w:rsid w:val="00151960"/>
    <w:rsid w:val="00157071"/>
    <w:rsid w:val="001E456C"/>
    <w:rsid w:val="002114BA"/>
    <w:rsid w:val="00223A85"/>
    <w:rsid w:val="0025291F"/>
    <w:rsid w:val="002541A1"/>
    <w:rsid w:val="00290ACF"/>
    <w:rsid w:val="00291614"/>
    <w:rsid w:val="002D6460"/>
    <w:rsid w:val="0032615E"/>
    <w:rsid w:val="0033228E"/>
    <w:rsid w:val="00372C4C"/>
    <w:rsid w:val="004058D3"/>
    <w:rsid w:val="0043313C"/>
    <w:rsid w:val="00463ACD"/>
    <w:rsid w:val="004937DD"/>
    <w:rsid w:val="005556F9"/>
    <w:rsid w:val="005D1EC7"/>
    <w:rsid w:val="006265E6"/>
    <w:rsid w:val="006A7928"/>
    <w:rsid w:val="006B6F13"/>
    <w:rsid w:val="006C2372"/>
    <w:rsid w:val="007241E4"/>
    <w:rsid w:val="00724AED"/>
    <w:rsid w:val="007646CC"/>
    <w:rsid w:val="00895A2E"/>
    <w:rsid w:val="008B30FD"/>
    <w:rsid w:val="009959A3"/>
    <w:rsid w:val="009A41E5"/>
    <w:rsid w:val="009C6F49"/>
    <w:rsid w:val="00AB4704"/>
    <w:rsid w:val="00AB61CC"/>
    <w:rsid w:val="00AF19F1"/>
    <w:rsid w:val="00B13985"/>
    <w:rsid w:val="00B146F9"/>
    <w:rsid w:val="00B729ED"/>
    <w:rsid w:val="00B85319"/>
    <w:rsid w:val="00B9378A"/>
    <w:rsid w:val="00CF35FE"/>
    <w:rsid w:val="00D25FDF"/>
    <w:rsid w:val="00D55B26"/>
    <w:rsid w:val="00DA1D03"/>
    <w:rsid w:val="00E02AE4"/>
    <w:rsid w:val="00E5062F"/>
    <w:rsid w:val="00E637E7"/>
    <w:rsid w:val="00EA7A38"/>
    <w:rsid w:val="00EC286F"/>
    <w:rsid w:val="00F15E10"/>
    <w:rsid w:val="00F320C7"/>
    <w:rsid w:val="00F83859"/>
    <w:rsid w:val="00F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  <w:style w:type="character" w:styleId="af3">
    <w:name w:val="Hyperlink"/>
    <w:basedOn w:val="a0"/>
    <w:uiPriority w:val="99"/>
    <w:unhideWhenUsed/>
    <w:rsid w:val="009C6F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8778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6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234834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2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C459-6724-4BF3-A245-41DFB78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6</cp:revision>
  <cp:lastPrinted>2025-03-25T11:36:00Z</cp:lastPrinted>
  <dcterms:created xsi:type="dcterms:W3CDTF">2025-03-05T10:05:00Z</dcterms:created>
  <dcterms:modified xsi:type="dcterms:W3CDTF">2025-03-26T11:23:00Z</dcterms:modified>
</cp:coreProperties>
</file>