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 ППССЗ по специальности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13.02.07 Электроснабжение (по отраслям)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РАБОЧАЯ ПРОГРАММА ПРОФЕССИОНАЛЬНОГО МОДУЛЯ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</w:rPr>
        <w:t>ПМ.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05 Выполнение работ по одной или нескольким профессиям рабочих, должностям служащих Электромонтер контактной сети/ Электромонтер по эксплуатации распределительных сетей/ Электромонтер тяговой подстанции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для специальности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13.02.07 Электроснабжение (по отраслям)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(квалификация техник)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год начала подготовки 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2023</w:t>
      </w:r>
    </w:p>
    <w:tbl>
      <w:tblPr>
        <w:tblW w:w="101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080"/>
      </w:tblGrid>
      <w:tr>
        <w:trPr/>
        <w:tc>
          <w:tcPr>
            <w:tcW w:w="20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Рецензенты: 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СОДЕРЖАНИЕ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tbl>
      <w:tblPr>
        <w:tblW w:w="9640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  <w:gridCol w:w="1418"/>
      </w:tblGrid>
      <w:tr>
        <w:trPr/>
        <w:tc>
          <w:tcPr>
            <w:tcW w:w="8222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903" w:leader="none"/>
              </w:tabs>
              <w:spacing w:lineRule="auto" w:line="240" w:before="0" w:after="0"/>
              <w:ind w:left="0" w:firstLine="601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ПАСПОРТ РАБОЧЕЙ ПРОГРАММЫ ПРОФЕССИОНАЛЬНОГО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МОДУЛЯ 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03" w:leader="none"/>
              </w:tabs>
              <w:spacing w:lineRule="auto" w:line="240" w:before="0" w:after="0"/>
              <w:ind w:left="0" w:firstLine="601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  <w:tr>
        <w:trPr>
          <w:trHeight w:val="670" w:hRule="atLeast"/>
        </w:trPr>
        <w:tc>
          <w:tcPr>
            <w:tcW w:w="8222" w:type="dxa"/>
            <w:tcBorders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03" w:leader="none"/>
              </w:tabs>
              <w:spacing w:lineRule="auto" w:line="240" w:before="0" w:after="0"/>
              <w:ind w:left="0" w:firstLine="601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spacing w:lineRule="auto" w:line="240" w:before="0" w:after="0"/>
              <w:ind w:firstLine="601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spacing w:lineRule="auto" w:line="240" w:before="0" w:after="0"/>
              <w:ind w:firstLine="601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</w:tbl>
    <w:p>
      <w:pPr>
        <w:sectPr>
          <w:footerReference w:type="default" r:id="rId2"/>
          <w:footerReference w:type="first" r:id="rId3"/>
          <w:type w:val="nextPage"/>
          <w:pgSz w:w="11906" w:h="16838"/>
          <w:pgMar w:left="1134" w:right="567" w:header="0" w:top="1134" w:footer="708" w:bottom="1134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1 ПАСПОРТ РАБОЧЕЙ ПРОГРАММЫ ПРОФЕССИОНАЛЬНОГО МОДУЛЯ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</w:rPr>
        <w:t>1.1 Область применения рабочей программы</w:t>
      </w:r>
    </w:p>
    <w:p>
      <w:pPr>
        <w:pStyle w:val="Normal"/>
        <w:spacing w:lineRule="auto" w:line="240" w:before="0" w:after="0"/>
        <w:ind w:firstLine="709"/>
        <w:jc w:val="both"/>
        <w:rPr>
          <w:rStyle w:val="14"/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Рабочая программа профессионального модуля «</w:t>
      </w:r>
      <w:r>
        <w:rPr>
          <w:rFonts w:cs="Times New Roman" w:ascii="Times New Roman" w:hAnsi="Times New Roman"/>
          <w:bCs/>
          <w:sz w:val="24"/>
          <w:szCs w:val="28"/>
        </w:rPr>
        <w:t>Выполнение работ по одной или нескольким профессиям рабочих, должностям служащих Электромонтер контактной сети/ Электромонтер по эксплуатации распределительных сетей/ Электромонтер тяговой подстанции</w:t>
      </w:r>
      <w:r>
        <w:rPr>
          <w:rFonts w:cs="Times New Roman" w:ascii="Times New Roman" w:hAnsi="Times New Roman"/>
          <w:sz w:val="24"/>
        </w:rPr>
        <w:t>» по отраслям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13.02.07 Электроснабжение (по отраслям):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- организация электроснабжения электрооборудования по отраслям;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техническое обслуживание оборудования электрических подстанций и сетей;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организация работ по ремонту оборудования электрических подстанций и сетей;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обеспечение безопасности работ при эксплуатации и ремонте оборудования электрических подстанций и сетей и соответствующих профессиональных компетенций (ПК):</w:t>
      </w:r>
    </w:p>
    <w:p>
      <w:pPr>
        <w:pStyle w:val="15"/>
        <w:shd w:fill="FFFFFF" w:val="clear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14"/>
          <w:rFonts w:cs="Times New Roman"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Рабочая программа профессионального модуля может быть использована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 профессиональной подготовке, переподготовке и повышении квалификации по рабочим профессиям: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- электромонтер контактной сети;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- электромонтер по обслуживанию подстанций;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- электромонтер по ремонту воздушных линий электропередач;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электромонтер по ремонту и монтажу кабельный линий;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электромонтер тяговой подстанции.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1.2 Место профессионального модуля в структуре ОПОП–ППССЗ: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Профессиональный цикл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1.3 Цели и задачи модуля – требования к результатам освоения модуля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иметь практический опыт: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ПО.1- составлении электрических схем электроснабжения электротехнического и электротехнологического оборудования по отраслям;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ПО.2- заполнении необходимой технической документации;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выполнении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ПО.3- внесении на действующие планы изменений и дополнений, произошедших в электрических сетях;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ПО.5- разработке технических условий проектирования строительства, реконструкции и модернизации кабельных линий электропередачи;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ПО.6 -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ПО.7- изучении схем питания и секционирования контактной сети и линий напряжением выше 1000 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ПО.8- изучении схем питания и секционирования контактной сети и воздушных линий электропередачи в пределах дистанции электроснабжения;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ПО.9- изучении принципиальных схем защит электрооборудования, электронных устройств, автоматики и телемеханики;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ПО.10-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уметь: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У1- разрабатывать электрические схемы электроснабжения электротехнического и электротехнологического оборудования по отраслям;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У2 - 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У3 - читать схемы распределительных сетей 35 кВ, находящихся в зоне эксплуатационной ответственности;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У4 - читать простые эскизы и схемы на несложные детали и узлы;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У5 - пользоваться навыками чтения схем первичных соединений электрооборудования электрических станций и подстанций;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У6 - читать схемы первичных соединений электрооборудования электрических станций и подстанций;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У7 - осваивать новые устройства (по мере их внедрения);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У8 - организовывать разработку и пересмотр должностных инструкций подчиненных работников более высокой квалификации;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У9 -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У10 -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У11 -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4"/>
        </w:rPr>
        <w:t>знать</w:t>
      </w:r>
      <w:r>
        <w:rPr>
          <w:rFonts w:cs="Times New Roman" w:ascii="Times New Roman" w:hAnsi="Times New Roman"/>
          <w:b/>
          <w:sz w:val="24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З1 - устройство электротехнического и электротехнологического оборудования по отраслям;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З2 - устройство и принцип действия трансформатора;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З3 - правила устройства электроустановок;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З4 - устройство и назначение неактивных (вспомогательных частей трансформатора);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З5 - принцип работы основного и вспомогательного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оборудования распределительных устройств средней сложности напряжением до 35 кВ;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З6 - конструктивное выполнение распределительных устройств;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З7 - конструкцию и принцип работы сухих, масляных, двухобмоточных силовых траформаторов мощностью до 10000 кВА напряжением до 35 кВ;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З8 - устройство, назначение различных типов оборудования (подвесной, натяжной изоляции, шинопроводов, молниезащиты, контуров заземляющих устройств), области ихприменения;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З9 -  элементы конструкции закрытых и открытых распределительных устройств напряжением до 110 кВ, минимальные допускаемые расстояния между оборудованием;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З10- устройство проводок для прогрева кабеля;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З11- устройство освещения рабочего места;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З12- назначение и устройство отдельных элементов контактной сети и трансформаторных подстанций;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З13- назначение устройств контактной сети, воздушных линий электропередачи;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З14 - назначение и расположение основного и вспомогательного оборудования на тяговых подстанциях и линейных устройствах тягового электроснабжения;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З15 - 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З16 - устройство и способы регулировки вакуумных выключателей и элегазового оборудования;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З17 - порядок изучения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 интеллектуальной основе;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З18 - однолинейные схемы тяговых подстанций.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методические указания по выполнению самостоятельных работ.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1.5 Перечень используемых методов обучения:</w:t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1.5.1 Пассивные: </w:t>
      </w:r>
      <w:r>
        <w:rPr>
          <w:rStyle w:val="14"/>
          <w:rFonts w:cs="Times New Roman" w:ascii="Times New Roman" w:hAnsi="Times New Roman"/>
          <w:sz w:val="24"/>
          <w:szCs w:val="24"/>
        </w:rPr>
        <w:t>лекции, опрос, работа с основной и дополнительной литературой.</w:t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cs="Times New Roman" w:ascii="Times New Roman" w:hAnsi="Times New Roman"/>
          <w:sz w:val="24"/>
          <w:szCs w:val="24"/>
        </w:rPr>
        <w:t>            </w:t>
      </w:r>
      <w:r>
        <w:rPr>
          <w:rFonts w:cs="Times New Roman" w:ascii="Times New Roman" w:hAnsi="Times New Roman"/>
          <w:sz w:val="24"/>
          <w:szCs w:val="24"/>
        </w:rPr>
        <w:t>1.5.2 Активные и интерактивные:</w:t>
      </w:r>
      <w:r>
        <w:rPr>
          <w:rStyle w:val="14"/>
          <w:rFonts w:cs="Times New Roman" w:ascii="Times New Roman" w:hAnsi="Times New Roman"/>
          <w:sz w:val="24"/>
          <w:szCs w:val="24"/>
        </w:rPr>
        <w:t xml:space="preserve"> игры.</w:t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  <w:r>
        <w:br w:type="page"/>
      </w:r>
    </w:p>
    <w:p>
      <w:pPr>
        <w:pStyle w:val="15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Style w:val="14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</w:rPr>
        <w:t xml:space="preserve">2 РЕЗУЛЬТАТЫ ОСВОЕНИЯ ПРОФЕССИОНАЛЬНОГО МОДУЛЯ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Результатом освоения программы профессионального модуля «Техническое обслуживание оборудования электрических подстанция и сетей» является овладение обучающимися видом профессиональной деятельности (ВПД):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организация электроснабжения электрооборудования по отраслям;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техническое обслуживание оборудования электрических подстанций и сетей;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организация работ по ремонту оборудования электрических подстанций и сетей;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обеспечение безопасности работ при эксплуатации и ремонте оборудования, в том числе профессиональными (ПК) и общими (ОК) компетенциями:</w:t>
      </w:r>
    </w:p>
    <w:tbl>
      <w:tblPr>
        <w:tblW w:w="500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837"/>
      </w:tblGrid>
      <w:tr>
        <w:trPr>
          <w:trHeight w:val="651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Код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</w:rPr>
              <w:t>ОК 01 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Georgia" w:cs="Times New Roman"/>
                <w:sz w:val="24"/>
              </w:rPr>
            </w:pPr>
            <w:r>
              <w:rPr>
                <w:rStyle w:val="Emphasis"/>
                <w:rFonts w:eastAsia="Georgia" w:cs="Times New Roman" w:ascii="Times New Roman" w:hAnsi="Times New Roman"/>
                <w:i w:val="false"/>
                <w:sz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Style w:val="Emphasis"/>
                <w:rFonts w:eastAsia="Georgia" w:cs="Times New Roman" w:ascii="Times New Roman" w:hAnsi="Times New Roman"/>
                <w:i w:val="false"/>
                <w:sz w:val="24"/>
              </w:rPr>
              <w:t>ОК 02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Emphasis"/>
                <w:rFonts w:eastAsia="Georgia" w:cs="Times New Roman" w:ascii="Times New Roman" w:hAnsi="Times New Roman"/>
                <w:i w:val="false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Emphasis"/>
                <w:rFonts w:eastAsia="Georgia" w:cs="Times New Roman" w:ascii="Times New Roman" w:hAnsi="Times New Roman"/>
                <w:i w:val="false"/>
                <w:sz w:val="24"/>
              </w:rPr>
              <w:t>ОК 04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Georgia" w:cs="Times New Roman"/>
                <w:sz w:val="24"/>
              </w:rPr>
            </w:pPr>
            <w:r>
              <w:rPr>
                <w:rStyle w:val="Emphasis"/>
                <w:rFonts w:eastAsia="Georgia" w:cs="Times New Roman" w:ascii="Times New Roman" w:hAnsi="Times New Roman"/>
                <w:i w:val="false"/>
                <w:sz w:val="24"/>
              </w:rPr>
              <w:t>Эффективно взаимодействовать и работать в коллективе и команде.</w:t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Emphasis"/>
                <w:rFonts w:eastAsia="Georgia" w:cs="Times New Roman" w:ascii="Times New Roman" w:hAnsi="Times New Roman"/>
                <w:i w:val="false"/>
                <w:sz w:val="24"/>
              </w:rPr>
              <w:t>ОК 09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Georgia" w:cs="Times New Roman"/>
                <w:sz w:val="24"/>
              </w:rPr>
            </w:pPr>
            <w:r>
              <w:rPr>
                <w:rStyle w:val="Emphasis"/>
                <w:rFonts w:eastAsia="Georgia" w:cs="Times New Roman" w:ascii="Times New Roman" w:hAnsi="Times New Roman"/>
                <w:i w:val="false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ПК 1.1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Georgia" w:cs="Times New Roman"/>
                <w:sz w:val="24"/>
              </w:rPr>
            </w:pPr>
            <w:r>
              <w:rPr>
                <w:rStyle w:val="Emphasis"/>
                <w:rFonts w:eastAsia="Georgia" w:cs="Times New Roman" w:ascii="Times New Roman" w:hAnsi="Times New Roman"/>
                <w:i w:val="false"/>
                <w:sz w:val="24"/>
              </w:rPr>
              <w:t> </w:t>
            </w:r>
            <w:r>
              <w:rPr>
                <w:rStyle w:val="Emphasis"/>
                <w:rFonts w:eastAsia="Georgia" w:cs="Times New Roman" w:ascii="Times New Roman" w:hAnsi="Times New Roman"/>
                <w:i w:val="false"/>
                <w:sz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ПК.1.2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Emphasis"/>
                <w:rFonts w:eastAsia="Georgia" w:cs="Times New Roman" w:ascii="Times New Roman" w:hAnsi="Times New Roman"/>
                <w:i w:val="false"/>
                <w:sz w:val="24"/>
              </w:rPr>
              <w:t>Читать и составлять электрические схемы электроснабжения электротехнического и электротехнологического оборудования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92"/>
        <w:gridCol w:w="9113"/>
      </w:tblGrid>
      <w:tr>
        <w:trPr>
          <w:trHeight w:val="685" w:hRule="exac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104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>
        <w:trPr>
          <w:trHeight w:val="1356" w:hRule="exac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>
        <w:trPr>
          <w:trHeight w:val="994" w:hRule="exac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hanging="66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Уважительное отношения, обучающихся к результатам собственного и чужого труда.</w:t>
            </w:r>
          </w:p>
        </w:tc>
      </w:tr>
      <w:tr>
        <w:trPr>
          <w:trHeight w:val="975" w:hRule="exac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hanging="6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90" w:hRule="exac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7" w:hRule="exac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>
        <w:trPr>
          <w:trHeight w:val="718" w:hRule="exac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hanging="66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sectPr>
          <w:footerReference w:type="default" r:id="rId4"/>
          <w:type w:val="nextPage"/>
          <w:pgSz w:w="11906" w:h="16838"/>
          <w:pgMar w:left="1134" w:right="567" w:header="0" w:top="1134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3 СТРУКТУРА И СОДЕРЖАНИЕ ПРОФЕССИОНАЛЬНОГО МОДУЛЯ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Очная форма обучения</w:t>
      </w:r>
    </w:p>
    <w:tbl>
      <w:tblPr>
        <w:tblW w:w="485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744"/>
        <w:gridCol w:w="1068"/>
        <w:gridCol w:w="936"/>
        <w:gridCol w:w="801"/>
        <w:gridCol w:w="1068"/>
        <w:gridCol w:w="1207"/>
        <w:gridCol w:w="1068"/>
        <w:gridCol w:w="1071"/>
        <w:gridCol w:w="1071"/>
        <w:gridCol w:w="1075"/>
      </w:tblGrid>
      <w:tr>
        <w:trPr>
          <w:trHeight w:val="350" w:hRule="atLeast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0"/>
              </w:rPr>
            </w:pPr>
            <w:r>
              <w:rPr>
                <w:rFonts w:cs="Times New Roman" w:ascii="Times New Roman" w:hAnsi="Times New Roman"/>
                <w:b/>
                <w:iCs/>
                <w:sz w:val="20"/>
              </w:rPr>
              <w:t>Всего часов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Практика</w:t>
            </w:r>
          </w:p>
        </w:tc>
      </w:tr>
      <w:tr>
        <w:trPr>
          <w:trHeight w:val="350" w:hRule="atLeast"/>
        </w:trPr>
        <w:tc>
          <w:tcPr>
            <w:tcW w:w="1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</w:rPr>
            </w: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Учебная,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>
        <w:trPr>
          <w:trHeight w:val="489" w:hRule="atLeast"/>
        </w:trPr>
        <w:tc>
          <w:tcPr>
            <w:tcW w:w="1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Всего,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в т.ч., курсовая работа (проект),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Всего,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в т.ч., курсовая работа (проект),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</w:r>
          </w:p>
        </w:tc>
        <w:tc>
          <w:tcPr>
            <w:tcW w:w="1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605" w:hRule="atLeast"/>
        </w:trPr>
        <w:tc>
          <w:tcPr>
            <w:tcW w:w="1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1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2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228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11</w:t>
            </w:r>
          </w:p>
        </w:tc>
      </w:tr>
      <w:tr>
        <w:trPr>
          <w:trHeight w:val="757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МДК.05.01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Специальные технологии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174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99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Учебная практика </w:t>
            </w:r>
            <w:r>
              <w:rPr>
                <w:rFonts w:cs="Times New Roman"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257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cs="Times New Roman"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cs="Times New Roman" w:ascii="Times New Roman" w:hAnsi="Times New Roman"/>
                <w:sz w:val="24"/>
              </w:rPr>
              <w:t xml:space="preserve">, часов </w:t>
            </w:r>
            <w:r>
              <w:rPr>
                <w:rFonts w:cs="Times New Roman"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108</w:t>
            </w:r>
          </w:p>
        </w:tc>
      </w:tr>
      <w:tr>
        <w:trPr>
          <w:trHeight w:val="37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ПК.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37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66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3.2 Содержание обучения по профессиональному модулю </w:t>
      </w:r>
      <w:r>
        <w:rPr>
          <w:rFonts w:cs="Times New Roman" w:ascii="Times New Roman" w:hAnsi="Times New Roman"/>
          <w:sz w:val="24"/>
        </w:rPr>
        <w:t>«Техническое обслуживание оборудования электрических подстанция и сетей»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15397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8"/>
        <w:gridCol w:w="425"/>
        <w:gridCol w:w="8407"/>
        <w:gridCol w:w="1023"/>
        <w:gridCol w:w="1464"/>
      </w:tblGrid>
      <w:tr>
        <w:trPr>
          <w:trHeight w:val="581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>
        <w:trPr>
          <w:trHeight w:val="144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МДК 05.01 Специальные технологии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 1. Выполнение работ по эксплуатации тяговых подстанций и линейных устройств тягового 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Тема 1.1. Эксплуатация тяговых подстанций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Подстанции, их назначение и основное оборудование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Методы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оперативного обслуживания тяговых подстанций. Организационные и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технические мероприятия, обеспечивающие безопасность при различных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категориях 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Силовые трансформаторы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краткие сведения о конструкции.  Масляные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сухие силовые трансформаторы. Виды и методы проведения  технического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обслуживания и ремонта трансформаторов.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Коммутационные и защитные аппараты напряжением до 1000 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Виды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методы проведения технического обслуживания. Порядок использования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инструментов, защитных и монтажных приспособлений.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Высоковольтные выключатели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Масляные выключатели: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многообъемные и малообъемные. Вакуумные выключатели. Элегазовые 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выключатели. Особенности элегаза. Периодичность осмотров и виды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ремонта выключателей переменного 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Быстродействующие выключатели постоянного тока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принцип </w:t>
            </w:r>
          </w:p>
          <w:p>
            <w:pPr>
              <w:pStyle w:val="Normal"/>
              <w:spacing w:lineRule="auto" w:line="240" w:before="0" w:after="0"/>
              <w:ind w:left="1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гашения дуги. Периодичность осмотров и виды ремонта быстродействующих </w:t>
            </w:r>
          </w:p>
          <w:p>
            <w:pPr>
              <w:pStyle w:val="Normal"/>
              <w:spacing w:lineRule="auto" w:line="240" w:before="0" w:after="0"/>
              <w:ind w:left="1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выключателей.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Практическая работа №1 «Изучение конструкции высоковольтных </w:t>
            </w:r>
          </w:p>
          <w:p>
            <w:pPr>
              <w:pStyle w:val="Normal"/>
              <w:spacing w:lineRule="auto" w:line="240" w:before="0" w:after="0"/>
              <w:ind w:left="1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(масляных)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Практическая работа №2 «Изучение конструкции высоковольтных </w:t>
            </w:r>
          </w:p>
          <w:p>
            <w:pPr>
              <w:pStyle w:val="Normal"/>
              <w:spacing w:lineRule="auto" w:line="240" w:before="0" w:after="0"/>
              <w:ind w:left="17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(вакуумных)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Разъединители, отделители и короткозамыкатели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Приводы 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разъединителей, отделителей и короткозамыкателей.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Разрядники и 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ограничители перенапряжений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Периодичность осмотров и виды ремонта 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разъединителей, отделителей, короткозамыкателей, разрядников и 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ограничителей перенапряжения.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Изоляторы, шины и провода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Измерительные трансформаторы тока и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напряжения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Параметры контроля сварных и отпрессованных соединений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сборных шин.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spacing w:lineRule="auto" w:line="240" w:before="0" w:after="0"/>
              <w:ind w:left="60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Электрические кабели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Условия прокладки кабелей в соответствии с ПУЭ.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Причины повреждений силовых кабелей в эксплуатации, виды и состав работ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текущего ремонта кабельных линий.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Практическая работа №3 «Изучение конструкции высоковольтных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(элегазовых) выключателей переменного тока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341" w:hRule="atLeast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Тема 1.2. Эксплуатация линейных устройств тягового электроснабжения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uppressAutoHyphens w:val="true"/>
              <w:autoSpaceDE w:val="false"/>
              <w:snapToGrid w:val="false"/>
              <w:spacing w:lineRule="auto" w:line="240" w:before="0" w:after="0"/>
              <w:ind w:left="600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Style18"/>
              <w:widowControl w:val="false"/>
              <w:suppressAutoHyphens w:val="true"/>
              <w:autoSpaceDE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uppressAutoHyphens w:val="true"/>
              <w:autoSpaceDE w:val="false"/>
              <w:spacing w:lineRule="auto" w:line="240" w:before="0" w:after="0"/>
              <w:ind w:left="86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 xml:space="preserve">Назначение и принципиальные схемы линейных устройств тягового </w:t>
            </w:r>
          </w:p>
          <w:p>
            <w:pPr>
              <w:pStyle w:val="Style18"/>
              <w:widowControl w:val="false"/>
              <w:suppressAutoHyphens w:val="true"/>
              <w:autoSpaceDE w:val="false"/>
              <w:spacing w:lineRule="auto" w:line="240" w:before="0" w:after="0"/>
              <w:ind w:left="86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электроснабжения электрифицированных участков постоянного 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Линейные устройства тягового электроснабжения на электрифицированных </w:t>
            </w:r>
          </w:p>
          <w:p>
            <w:pPr>
              <w:pStyle w:val="Normal"/>
              <w:spacing w:lineRule="auto" w:line="240" w:before="0" w:after="0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участках переменного 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Конструктивное исполнение линейных устройств тягового </w:t>
            </w:r>
          </w:p>
          <w:p>
            <w:pPr>
              <w:pStyle w:val="Normal"/>
              <w:spacing w:lineRule="auto" w:line="240" w:before="0" w:after="0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электроснабжения. </w:t>
            </w:r>
          </w:p>
          <w:p>
            <w:pPr>
              <w:pStyle w:val="Normal"/>
              <w:spacing w:lineRule="auto" w:line="240" w:before="0" w:after="0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Виды технического обслуживания и ремонта линейных устройств тягового </w:t>
            </w:r>
          </w:p>
          <w:p>
            <w:pPr>
              <w:pStyle w:val="Normal"/>
              <w:spacing w:lineRule="auto" w:line="240" w:before="0" w:after="0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Методы оперативного обслуживания линейных устройств тягового </w:t>
            </w:r>
          </w:p>
          <w:p>
            <w:pPr>
              <w:pStyle w:val="Normal"/>
              <w:spacing w:lineRule="auto" w:line="240" w:before="0" w:after="0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электроснабжения. Организационные и технические мероприятия, </w:t>
            </w:r>
          </w:p>
          <w:p>
            <w:pPr>
              <w:pStyle w:val="Normal"/>
              <w:spacing w:lineRule="auto" w:line="240" w:before="0" w:after="0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обеспечивающие безопасность при различных категориях работ.</w:t>
            </w:r>
          </w:p>
          <w:p>
            <w:pPr>
              <w:pStyle w:val="Normal"/>
              <w:spacing w:lineRule="auto" w:line="240" w:before="0" w:after="0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82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Практическая работа №4 «Изучение конструкции вентильных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разрядников»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Правила технической эксплуатации железных дорог Российской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Федерации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Техническая эксплуатация сооружений и устройств технологического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электроснабжения железнодорожного транспорта. Обслуживание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сооружений и устройств железнодорожного транспорта.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Правила по охране труда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их применение при техническом обслуживании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линейных устройств тягового электроснабжения. Работы в зоне влияния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электрического и магнитного полей.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Испытания и измерения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Испытания электрооборудования с подачей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повышенного напряжения от постороннего источника. Работа с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электроизмерительными клещами и измерительными штангами. Работа с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импульсным измерителем линий. Работы с мегаомметром. Переносные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электроинструменты и светильники, ручные электрические машины, </w:t>
            </w:r>
          </w:p>
          <w:p>
            <w:pPr>
              <w:pStyle w:val="Normal"/>
              <w:spacing w:lineRule="auto" w:line="240" w:before="0" w:after="0"/>
              <w:ind w:left="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разделительные трансформаторы.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uppressAutoHyphens w:val="true"/>
              <w:snapToGrid w:val="false"/>
              <w:spacing w:lineRule="auto" w:line="240" w:before="0" w:after="0"/>
              <w:ind w:left="742" w:right="13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Style18"/>
              <w:suppressAutoHyphens w:val="true"/>
              <w:spacing w:lineRule="auto" w:line="240" w:before="0" w:after="0"/>
              <w:ind w:left="742" w:right="13" w:hang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Style18"/>
              <w:suppressAutoHyphens w:val="true"/>
              <w:spacing w:lineRule="auto" w:line="240" w:before="0" w:after="0"/>
              <w:ind w:left="742" w:right="13" w:hang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Style18"/>
              <w:suppressAutoHyphens w:val="true"/>
              <w:spacing w:lineRule="auto" w:line="240" w:before="0" w:after="0"/>
              <w:ind w:left="0" w:right="13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uppressAutoHyphens w:val="true"/>
              <w:spacing w:lineRule="auto" w:line="240" w:before="0" w:after="0"/>
              <w:ind w:left="69" w:right="13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 xml:space="preserve">Изучение и сравнительный анализ технологических карт на межремонтные </w:t>
            </w:r>
          </w:p>
          <w:p>
            <w:pPr>
              <w:pStyle w:val="Style18"/>
              <w:suppressAutoHyphens w:val="true"/>
              <w:spacing w:lineRule="auto" w:line="240" w:before="0" w:after="0"/>
              <w:ind w:left="69" w:right="13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 xml:space="preserve">испытания и работы по текущему ремонту оборудования тяговых и </w:t>
            </w:r>
          </w:p>
          <w:p>
            <w:pPr>
              <w:pStyle w:val="Style18"/>
              <w:suppressAutoHyphens w:val="true"/>
              <w:spacing w:lineRule="auto" w:line="240" w:before="0" w:after="0"/>
              <w:ind w:left="69" w:right="13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 xml:space="preserve">трансформаторных подстанций электрифицированных железных дорог </w:t>
            </w:r>
          </w:p>
          <w:p>
            <w:pPr>
              <w:pStyle w:val="Style18"/>
              <w:suppressAutoHyphens w:val="true"/>
              <w:spacing w:lineRule="auto" w:line="240" w:before="0" w:after="0"/>
              <w:ind w:left="69" w:right="1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(силовые масляные трансформаторы)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667" w:hRule="atLeast"/>
        </w:trPr>
        <w:tc>
          <w:tcPr>
            <w:tcW w:w="4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uppressAutoHyphens w:val="true"/>
              <w:snapToGrid w:val="false"/>
              <w:spacing w:lineRule="auto" w:line="240" w:before="0" w:after="0"/>
              <w:ind w:left="742" w:right="13" w:hanging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uppressAutoHyphens w:val="true"/>
              <w:spacing w:lineRule="auto" w:line="240" w:before="0" w:after="0"/>
              <w:ind w:left="69" w:right="1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 w:eastAsia="ru-RU"/>
              </w:rPr>
              <w:t xml:space="preserve">Практическая работа №5 </w:t>
            </w:r>
          </w:p>
          <w:p>
            <w:pPr>
              <w:pStyle w:val="Style18"/>
              <w:suppressAutoHyphens w:val="true"/>
              <w:spacing w:lineRule="auto" w:line="240" w:before="0" w:after="0"/>
              <w:ind w:left="69" w:right="13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 w:eastAsia="ru-RU"/>
              </w:rPr>
              <w:t>«Изучение конструкции ограничителей перенапряжений»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44" w:hRule="atLeast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Промежуточная аттестация – дифференцированный зачет (6 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УП.05.01 Учебная практика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Монтаж электроизмерительных приборов: амперметра, вольтметра.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Чтение простых электрических схем.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Составление схем соединения и подключения.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Подготовка трассы для скрытой прокладки проводов, кабелей.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Монтаж DIN рейки, однополюсного автомата, двухполюсного автомата, трехполюсного автомата.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Монтаж измерительных трансформаторов тока на напряжение до 1000 В.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Монтаж электросчетчика однофазного, трехфазного.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Разборка и сборка электродвигателей.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Сборка схем с коммутационной аппаратурой до 1000 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Сборка схем напряжением до 1000 В с маркировкой, прозвонкой цепей.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Монтаж плавких предохранителей, тепловых и электромагнитных реле.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Ремонт защитной аппаратуры.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Монтаж и проверка цепей сигнализации.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Техническое обслуживание цепей освещения.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Промежуточная аттестация – дифференцированный зачет (6 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Практическое ознакомление с устройством и основным оборудованием подстанции.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Практическое ознакомление с защитными средствами, применяемыми в электроустановках.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Определение исправности и годности защитных средств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Практическое ознакомление с порядком применения защитных средств в электроустановках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Техническое обслуживание автоматических воздушных выключателей, контакторов, магнитных пускателей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Установка и техническое обслуживание шин.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Установка и техническое обслуживание предохранителей.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Установка и техническое обслуживание разрядников.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Установка и техническое обслуживание ограничителей перенапряжения.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Практическое ознакомление с порядком оперативных переключений.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Промежуточная аттестация - дифференцированный зачет (6 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Квалификационный экзамен по модулю (6 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sectPr>
          <w:footerReference w:type="default" r:id="rId5"/>
          <w:type w:val="nextPage"/>
          <w:pgSz w:orient="landscape" w:w="16838" w:h="11906"/>
          <w:pgMar w:left="1134" w:right="567" w:header="0" w:top="1134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 УСЛОВИЯ РЕАЛИЗАЦИИ ПРОФЕССИОНАЛЬНОГО МОДУЛЯ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4.1 Материально–техническое обеспечение реализации ПМ 01 Организация электроснабжения электрооборудования по отраслям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профессиональный модуль реализуется в: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профессиональный модуль реализуется в: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а) </w:t>
      </w:r>
      <w:r>
        <w:rPr>
          <w:rFonts w:cs="Times New Roman" w:ascii="Times New Roman" w:hAnsi="Times New Roman"/>
          <w:b/>
          <w:bCs/>
          <w:sz w:val="24"/>
          <w:szCs w:val="24"/>
        </w:rPr>
        <w:t>учебных кабинетах:</w:t>
      </w:r>
    </w:p>
    <w:p>
      <w:pPr>
        <w:pStyle w:val="Normal"/>
        <w:spacing w:lineRule="auto" w:line="240" w:before="0" w:after="0"/>
        <w:ind w:right="227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Учебная аудитория</w:t>
      </w:r>
      <w:r>
        <w:rPr>
          <w:rFonts w:cs="Times New Roman" w:ascii="Times New Roman" w:hAnsi="Times New Roman"/>
          <w:b/>
          <w:sz w:val="24"/>
          <w:szCs w:val="24"/>
        </w:rPr>
        <w:t xml:space="preserve">  -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</w:t>
      </w:r>
      <w:r>
        <w:rPr>
          <w:rFonts w:cs="Times New Roman"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>
        <w:rPr>
          <w:rFonts w:cs="Times New Roman" w:ascii="Times New Roman" w:hAnsi="Times New Roman"/>
          <w:sz w:val="24"/>
          <w:szCs w:val="24"/>
        </w:rPr>
        <w:t xml:space="preserve"> -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Кабинет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«Контактной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сети»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Оборудование учебного кабинета: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комплект учебной мебели, </w:t>
      </w:r>
      <w:r>
        <w:rPr>
          <w:rFonts w:cs="Times New Roman" w:ascii="Times New Roman" w:hAnsi="Times New Roman"/>
          <w:sz w:val="24"/>
          <w:szCs w:val="24"/>
        </w:rPr>
        <w:t>посадочные места по количеству обучающихся;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рабочее место преподавателя;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учебно-наглядные пособия;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технические средства обучения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б) учебных лабораториях:</w:t>
      </w:r>
    </w:p>
    <w:p>
      <w:pPr>
        <w:pStyle w:val="WWHeading1"/>
        <w:ind w:left="0" w:firstLine="709"/>
        <w:rPr/>
      </w:pPr>
      <w:r>
        <w:rPr>
          <w:sz w:val="24"/>
          <w:szCs w:val="24"/>
        </w:rPr>
        <w:t>Лаборатория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«Технического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установок»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Оборудование лаборатории: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посадочные места по количеству обучающихся;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рабочее место преподавателя;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лабораторное оборудование;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в) помещении для самостоятельной работы</w:t>
      </w:r>
      <w:r>
        <w:rPr>
          <w:rFonts w:cs="Times New Roman"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>
      <w:pPr>
        <w:pStyle w:val="Style18"/>
        <w:tabs>
          <w:tab w:val="clear" w:pos="708"/>
          <w:tab w:val="left" w:pos="1134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Moodle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/>
        <w:t>Основные источники:</w:t>
      </w:r>
    </w:p>
    <w:tbl>
      <w:tblPr>
        <w:tblW w:w="9474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835"/>
        <w:gridCol w:w="2267"/>
        <w:gridCol w:w="1570"/>
      </w:tblGrid>
      <w:tr>
        <w:trPr>
          <w:trHeight w:val="6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napToGrid w:val="false"/>
              <w:spacing w:lineRule="auto" w:line="240" w:before="0" w:after="0"/>
              <w:ind w:left="786" w:hanging="360"/>
              <w:contextualSpacing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В. И. Сопов, Ю. А. Прокушев.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М.: Издательство Юрайт, 2020. - 137 с. -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>
        <w:trPr>
          <w:trHeight w:val="6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napToGrid w:val="false"/>
              <w:spacing w:lineRule="auto" w:line="240" w:before="0" w:after="0"/>
              <w:ind w:left="786" w:hanging="360"/>
              <w:contextualSpacing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414141"/>
                <w:sz w:val="24"/>
                <w:szCs w:val="24"/>
                <w:shd w:fill="F2F2F2" w:val="clear"/>
              </w:rPr>
              <w:t>Капралова,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414141"/>
                <w:sz w:val="24"/>
                <w:szCs w:val="24"/>
                <w:shd w:fill="F2F2F2" w:val="clear"/>
              </w:rPr>
              <w:t xml:space="preserve">Электроснабжение электротехнологического оборудования: учебное пособие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414141"/>
                <w:sz w:val="24"/>
                <w:szCs w:val="24"/>
                <w:shd w:fill="F2F2F2" w:val="clear"/>
              </w:rPr>
              <w:t>М.: УМЦ ЖДТ, 2023. -184 с. Режим доступа: </w:t>
            </w:r>
            <w:hyperlink r:id="rId6">
              <w:r>
                <w:rPr>
                  <w:rStyle w:val="InternetLink"/>
                  <w:rFonts w:cs="Times New Roman" w:ascii="Times New Roman" w:hAnsi="Times New Roman"/>
                  <w:color w:val="2C3665"/>
                  <w:sz w:val="24"/>
                  <w:szCs w:val="24"/>
                  <w:shd w:fill="F2F2F2" w:val="clear"/>
                </w:rPr>
                <w:t>https://umczdt.ru/books/1150/280588/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>
        <w:trPr>
          <w:trHeight w:val="6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napToGrid w:val="false"/>
              <w:spacing w:lineRule="auto" w:line="240" w:before="0" w:after="0"/>
              <w:contextualSpacing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Сивков А. А., Сайгаш А. С., Герасимов Д. 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Основы электроснабжения:  учебное пособие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М.: Издательство Юрайт, 2022. - 173 с. -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режим доступа: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hyperlink r:id="rId7" w:tgtFrame="_blank">
              <w:r>
                <w:rPr>
                  <w:rStyle w:val="InternetLink"/>
                  <w:rFonts w:cs="Times New Roman" w:ascii="Times New Roman" w:hAnsi="Times New Roman"/>
                  <w:color w:val="F28C00"/>
                  <w:sz w:val="24"/>
                  <w:szCs w:val="24"/>
                  <w:shd w:fill="FFFFFF" w:val="clear"/>
                </w:rPr>
                <w:t>https://urait.ru/bcode/491125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Дополнительные источники:</w:t>
      </w:r>
    </w:p>
    <w:tbl>
      <w:tblPr>
        <w:tblW w:w="979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835"/>
        <w:gridCol w:w="2409"/>
        <w:gridCol w:w="185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М.: КноРус, 2019. - 181 с. - (СПО):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режим доступа: https://book.ru/book/929621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cs="Times New Roman" w:ascii="Times New Roman" w:hAnsi="Times New Roman"/>
                <w:color w:val="414141"/>
                <w:sz w:val="24"/>
                <w:szCs w:val="24"/>
                <w:shd w:fill="F2F2F2" w:val="clear"/>
              </w:rPr>
              <w:t>М.: ФГБУ ДПО «УМЦ ЖДТ», 2018. - 278 с. – режим доступа: </w:t>
            </w:r>
            <w:hyperlink r:id="rId8">
              <w:r>
                <w:rPr>
                  <w:rStyle w:val="InternetLink"/>
                  <w:rFonts w:cs="Times New Roman" w:ascii="Times New Roman" w:hAnsi="Times New Roman"/>
                  <w:color w:val="2C3665"/>
                  <w:sz w:val="24"/>
                  <w:szCs w:val="24"/>
                  <w:shd w:fill="F2F2F2" w:val="clear"/>
                </w:rPr>
                <w:t>https://umczdt.ru/books/1194/225481/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5 КОНТРОЛЬ И ОЦЕНКА РЕЗУЛЬТАТОВ ОСВОЕНИЯ ПРОФЕССИОНАЛЬНОГО МОДУЛЯ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</w:rPr>
        <w:t xml:space="preserve">Контроль и оценка </w:t>
      </w:r>
      <w:r>
        <w:rPr>
          <w:rFonts w:cs="Times New Roman" w:ascii="Times New Roman" w:hAnsi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</w:t>
      </w:r>
      <w:r>
        <w:rPr/>
        <w:t>нозначное решение: «вид профессиональной деятельности освоен/не освоен».</w:t>
      </w:r>
    </w:p>
    <w:tbl>
      <w:tblPr>
        <w:tblW w:w="490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  <w:gridCol w:w="4089"/>
      </w:tblGrid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МДК.05.01 Специальные технологии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iCs/>
                <w:sz w:val="24"/>
              </w:rPr>
              <w:t>ДЗ (6 семестр)</w:t>
            </w:r>
          </w:p>
        </w:tc>
      </w:tr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УП.05.01 Учебная практика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sz w:val="24"/>
              </w:rPr>
              <w:t xml:space="preserve">ДЗ </w:t>
            </w:r>
            <w:r>
              <w:rPr>
                <w:rFonts w:cs="Times New Roman" w:ascii="Times New Roman" w:hAnsi="Times New Roman"/>
                <w:i/>
                <w:iCs/>
                <w:sz w:val="24"/>
              </w:rPr>
              <w:t>(6 семестр)</w:t>
            </w:r>
          </w:p>
        </w:tc>
      </w:tr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</w:rPr>
              <w:t>ПП.05.01 Производственная практика (по профилю специальности)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 xml:space="preserve">ДЗ  </w:t>
            </w:r>
            <w:r>
              <w:rPr>
                <w:rFonts w:cs="Times New Roman" w:ascii="Times New Roman" w:hAnsi="Times New Roman"/>
                <w:i/>
                <w:iCs/>
                <w:sz w:val="24"/>
              </w:rPr>
              <w:t>(6 семестр)</w:t>
            </w:r>
          </w:p>
        </w:tc>
      </w:tr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ПМ.05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</w:rPr>
              <w:t xml:space="preserve">Экзамен квалификационный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4"/>
              </w:rPr>
              <w:t>(6 семестр)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9899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134"/>
        <w:gridCol w:w="2835"/>
        <w:gridCol w:w="1711"/>
      </w:tblGrid>
      <w:tr>
        <w:trPr/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Результаты обучения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Формы и методы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контроля и оценки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Нумерация тем 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соответствии с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тематическим планом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ОК, ПК,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4003" w:hRule="atLeast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разрабатывать электрические схемы устройств электрических подстанций и сетей;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У2-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вносить изменения в принципиальные схемы при замене приборов аппаратуры распределительных устройств;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У3-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обеспечивать выполнение работ по обслуживанию трансформаторов и преобразователей электрической энергии;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У4-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обеспечивать проведение работ по обслуживанию оборудования распределительных устройств электроустановок;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У5-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контролировать состояние воздушных и кабельных линий,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организовывать и проводить работы по их техническому обслуживанию;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У6-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использовать нормативную техническую документацию и инструкции;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У7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расчеты рабочих и аварийных режимов действующих электроустановок и выбирать оборудование;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У8 -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оформлять отчеты о проделанной работе.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ОК 01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ПК 1.1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ПК.1.2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ЛР 31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6328" w:hRule="atLeast"/>
        </w:trPr>
        <w:tc>
          <w:tcPr>
            <w:tcW w:w="4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2280" w:hRule="atLeast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З.1 -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устройство оборудования электроустановок;</w:t>
            </w:r>
          </w:p>
          <w:p>
            <w:pPr>
              <w:pStyle w:val="Style191"/>
              <w:widowControl/>
              <w:tabs>
                <w:tab w:val="clear" w:pos="708"/>
                <w:tab w:val="left" w:pos="-2600" w:leader="none"/>
              </w:tabs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З.2 </w:t>
            </w:r>
            <w:r>
              <w:rPr>
                <w:rFonts w:cs="Times New Roman" w:ascii="Times New Roman" w:hAnsi="Times New Roman"/>
              </w:rPr>
              <w:t>- условные графические обозначения элементов электрических схем;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З.3 -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логику построения схем, типовые схемные решения, принципиальные схемы эксплуатируемых электроустановок;</w:t>
            </w:r>
          </w:p>
          <w:p>
            <w:pPr>
              <w:pStyle w:val="Style221"/>
              <w:shd w:fill="FFFFFF" w:val="clear"/>
              <w:tabs>
                <w:tab w:val="clear" w:pos="708"/>
                <w:tab w:val="left" w:pos="216" w:leader="none"/>
                <w:tab w:val="left" w:pos="5670" w:leader="none"/>
              </w:tabs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З.4 </w:t>
            </w:r>
            <w:r>
              <w:rPr>
                <w:sz w:val="24"/>
                <w:szCs w:val="24"/>
              </w:rPr>
              <w:t>- виды работ и технологию обслуживания трансформаторов и преобразователей;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З.5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виды и технологии работ по обслуживанию оборудования распределительных устройств;</w:t>
            </w:r>
          </w:p>
          <w:p>
            <w:pPr>
              <w:pStyle w:val="Style191"/>
              <w:widowControl/>
              <w:tabs>
                <w:tab w:val="clear" w:pos="708"/>
                <w:tab w:val="left" w:pos="-2600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З.6</w:t>
            </w:r>
            <w:r>
              <w:rPr>
                <w:rFonts w:cs="Times New Roman" w:ascii="Times New Roman" w:hAnsi="Times New Roman"/>
              </w:rPr>
              <w:t>- эксплуатационно-технические основы линий электропередачи, виды и технологии работ по их обслуживанию;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З.7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Основные положения правил технической эксплуатации электроустановок;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З.8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виды технологической и отчетной документации, порядок ее заполнения.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ОК 01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ПК 1.1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ПК.1.2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ЛР 31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13" w:hRule="atLeast"/>
        </w:trPr>
        <w:tc>
          <w:tcPr>
            <w:tcW w:w="4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13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ПО.01 - составлении электрических схем электроснабжения электротехнического и электротехнологического оборудования по отраслям;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 2 - заполнении необходимой технической документации;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ПО3 - внесении на действующие планы изменений и дополнений, произошедших в электрических сетях;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 4 -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ПО5 - разработке технических условий проектирования строительства, реконструкции и модернизации кабельных линий электропередачи;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ПО6 -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ПО7 - изучении схем питания и секционирования контактной сети и линий напряжением выше 1000 В;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ПО8 - изучении схем питания и секционирования контактной сети и воздушных линий электропередачи в пределах дистанции электроснабжения;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ПО9 - изучении принципиальных схем защит электрооборудования, электронных устройств, автоматики и телемеханики;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ПО.10-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ОК 01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ПК 1.1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ПК.1.2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ЛР 31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sectPr>
      <w:footerReference w:type="default" r:id="rId9"/>
      <w:type w:val="nextPage"/>
      <w:pgSz w:w="11906" w:h="16838"/>
      <w:pgMar w:left="1418" w:right="707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Georgia">
    <w:charset w:val="cc"/>
    <w:family w:val="roman"/>
    <w:pitch w:val="variable"/>
  </w:font>
  <w:font w:name="Tahoma">
    <w:charset w:val="cc"/>
    <w:family w:val="swiss"/>
    <w:pitch w:val="variable"/>
  </w:font>
  <w:font w:name="Franklin Gothic Demi">
    <w:altName w:val="Franklin Gothic Medium"/>
    <w:charset w:val="cc"/>
    <w:family w:val="swiss"/>
    <w:pitch w:val="variable"/>
  </w:font>
  <w:font w:name="Arial">
    <w:charset w:val="cc"/>
    <w:family w:val="swiss"/>
    <w:pitch w:val="variable"/>
  </w:font>
  <w:font w:name="Lucida Sans Unicode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pt;height:11.7pt;mso-wrap-distance-left:0pt;mso-wrap-distance-right:0pt;mso-wrap-distance-top:0pt;mso-wrap-distance-bottom:0pt;margin-top:0.05pt;mso-position-vertical-relative:text;margin-left:504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pt;height:11.7pt;mso-wrap-distance-left:0pt;mso-wrap-distance-right:0pt;mso-wrap-distance-top:0pt;mso-wrap-distance-bottom:0pt;margin-top:0.05pt;mso-position-vertical-relative:text;margin-left:504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3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15pt;height:11.7pt;mso-wrap-distance-left:0pt;mso-wrap-distance-right:0pt;mso-wrap-distance-top:0pt;mso-wrap-distance-bottom:0pt;margin-top:0.05pt;mso-position-vertical-relative:text;margin-left:745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4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15pt;height:11.7pt;mso-wrap-distance-left:0pt;mso-wrap-distance-right:0pt;mso-wrap-distance-top:0pt;mso-wrap-distance-bottom:0pt;margin-top:0.05pt;mso-position-vertical-relative:text;margin-left:477.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35" w:hanging="975"/>
      </w:pPr>
      <w:rPr>
        <w:b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2"/>
        <w:szCs w:val="22"/>
        <w:rFonts w:ascii="Times New Roman" w:hAnsi="Times New Roman"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rFonts w:ascii="Times New Roman" w:hAnsi="Times New Roman" w:cs="Times New Roman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styleId="WW8Num1z0">
    <w:name w:val="WW8Num1z0"/>
    <w:qFormat/>
    <w:rPr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  <w:b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  <w:sz w:val="24"/>
      <w:szCs w:val="24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eastAsia="Times New Roman" w:cs="Times New Roman"/>
      <w:b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Style11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InternetLink">
    <w:name w:val="Hyperlink"/>
    <w:rPr>
      <w:color w:val="0000FF"/>
      <w:u w:val="single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2Georgia9pt">
    <w:name w:val="Основной текст (2) + Georgia;9 pt;Полужирный"/>
    <w:qFormat/>
    <w:rPr>
      <w:rFonts w:ascii="Georgia" w:hAnsi="Georgia" w:eastAsia="Georgia" w:cs="Georgi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bidi="ru-RU"/>
    </w:rPr>
  </w:style>
  <w:style w:type="character" w:styleId="Style12">
    <w:name w:val="Основной текст Знак"/>
    <w:basedOn w:val="Style11"/>
    <w:qFormat/>
    <w:rPr/>
  </w:style>
  <w:style w:type="character" w:styleId="11">
    <w:name w:val="Основной текст Знак1"/>
    <w:qFormat/>
    <w:rPr>
      <w:rFonts w:ascii="Times New Roman" w:hAnsi="Times New Roman" w:eastAsia="Calibri" w:cs="Times New Roman"/>
      <w:sz w:val="24"/>
      <w:szCs w:val="24"/>
    </w:rPr>
  </w:style>
  <w:style w:type="character" w:styleId="Style13">
    <w:name w:val="Нижний колонтитул Знак"/>
    <w:basedOn w:val="Style11"/>
    <w:qFormat/>
    <w:rPr/>
  </w:style>
  <w:style w:type="character" w:styleId="12">
    <w:name w:val="Нижний колонтитул Знак1"/>
    <w:qFormat/>
    <w:rPr>
      <w:rFonts w:ascii="Cambria" w:hAnsi="Cambria" w:eastAsia="Calibri" w:cs="Times New Roman"/>
      <w:sz w:val="20"/>
      <w:szCs w:val="20"/>
    </w:rPr>
  </w:style>
  <w:style w:type="character" w:styleId="Style14">
    <w:name w:val="Текст сноски Знак"/>
    <w:qFormat/>
    <w:rPr>
      <w:sz w:val="20"/>
      <w:szCs w:val="20"/>
    </w:rPr>
  </w:style>
  <w:style w:type="character" w:styleId="13">
    <w:name w:val="Текст сноски Знак1"/>
    <w:qFormat/>
    <w:rPr>
      <w:rFonts w:ascii="Times New Roman" w:hAnsi="Times New Roman" w:eastAsia="Calibri" w:cs="Times New Roman"/>
      <w:sz w:val="20"/>
      <w:szCs w:val="20"/>
    </w:rPr>
  </w:style>
  <w:style w:type="character" w:styleId="Style15">
    <w:name w:val="Верхний колонтитул Знак"/>
    <w:basedOn w:val="Style11"/>
    <w:qFormat/>
    <w:rPr/>
  </w:style>
  <w:style w:type="character" w:styleId="PageNumber">
    <w:name w:val="Page Number"/>
    <w:basedOn w:val="Style11"/>
    <w:rPr/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14">
    <w:name w:val="Основной шрифт абзаца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Emphasis">
    <w:name w:val="Emphasis"/>
    <w:qFormat/>
    <w:rPr>
      <w:rFonts w:cs="Times New Roman"/>
      <w:i/>
    </w:rPr>
  </w:style>
  <w:style w:type="character" w:styleId="2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21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styleId="FontStyle18">
    <w:name w:val="Font Style18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21">
    <w:name w:val="Font Style21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22">
    <w:name w:val="Font Style22"/>
    <w:qFormat/>
    <w:rPr>
      <w:rFonts w:ascii="Franklin Gothic Demi;Franklin Gothic Medium" w:hAnsi="Franklin Gothic Demi;Franklin Gothic Medium" w:cs="Franklin Gothic Demi;Franklin Gothic Medium"/>
      <w:smallCaps/>
      <w:sz w:val="20"/>
      <w:szCs w:val="20"/>
    </w:rPr>
  </w:style>
  <w:style w:type="character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styleId="Applestylespan">
    <w:name w:val="apple-style-span"/>
    <w:basedOn w:val="Style11"/>
    <w:qFormat/>
    <w:rPr/>
  </w:style>
  <w:style w:type="character" w:styleId="FontStyle117">
    <w:name w:val="Font Style117"/>
    <w:qFormat/>
    <w:rPr>
      <w:rFonts w:ascii="Times New Roman" w:hAnsi="Times New Roman" w:cs="Times New Roman"/>
      <w:b/>
      <w:bCs/>
      <w:sz w:val="20"/>
      <w:szCs w:val="20"/>
    </w:rPr>
  </w:style>
  <w:style w:type="character" w:styleId="FontStyle20">
    <w:name w:val="Font Style20"/>
    <w:qFormat/>
    <w:rPr>
      <w:rFonts w:ascii="Times New Roman" w:hAnsi="Times New Roman" w:eastAsia="Times New Roman" w:cs="Times New Roman"/>
      <w:sz w:val="24"/>
      <w:szCs w:val="24"/>
    </w:rPr>
  </w:style>
  <w:style w:type="character" w:styleId="11pt">
    <w:name w:val="Основной текст + 11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6">
    <w:name w:val="Основной текст (6)_"/>
    <w:qFormat/>
    <w:rPr>
      <w:sz w:val="23"/>
      <w:szCs w:val="23"/>
      <w:shd w:fill="FFFFFF" w:val="clear"/>
    </w:rPr>
  </w:style>
  <w:style w:type="character" w:styleId="Ft18">
    <w:name w:val="ft18"/>
    <w:qFormat/>
    <w:rPr/>
  </w:style>
  <w:style w:type="character" w:styleId="FontStyle113">
    <w:name w:val="Font Style113"/>
    <w:qFormat/>
    <w:rPr>
      <w:rFonts w:ascii="Arial" w:hAnsi="Arial" w:cs="Arial"/>
      <w:color w:val="000000"/>
      <w:sz w:val="22"/>
      <w:szCs w:val="22"/>
    </w:rPr>
  </w:style>
  <w:style w:type="character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styleId="Style17">
    <w:name w:val="Абзац списка Знак"/>
    <w:qFormat/>
    <w:rPr>
      <w:sz w:val="22"/>
      <w:szCs w:val="22"/>
    </w:rPr>
  </w:style>
  <w:style w:type="character" w:styleId="S16">
    <w:name w:val="s16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15"/>
    <w:pPr>
      <w:spacing w:lineRule="auto" w:line="240" w:before="0"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8">
    <w:name w:val="Абзац списка"/>
    <w:basedOn w:val="Normal"/>
    <w:qFormat/>
    <w:pPr>
      <w:spacing w:before="0" w:after="200"/>
      <w:ind w:left="720" w:hanging="0"/>
      <w:contextualSpacing/>
    </w:pPr>
    <w:rPr>
      <w:lang w:val="en-US"/>
    </w:rPr>
  </w:style>
  <w:style w:type="paragraph" w:styleId="15">
    <w:name w:val="Обычный1"/>
    <w:qFormat/>
    <w:pPr>
      <w:widowControl/>
      <w:suppressAutoHyphens w:val="true"/>
      <w:bidi w:val="0"/>
      <w:spacing w:lineRule="auto" w:line="244" w:before="0" w:after="200"/>
      <w:textAlignment w:val="baseline"/>
    </w:pPr>
    <w:rPr>
      <w:rFonts w:ascii="Cambria" w:hAnsi="Cambria" w:eastAsia="Calibri" w:cs="Cambria"/>
      <w:color w:val="auto"/>
      <w:sz w:val="22"/>
      <w:szCs w:val="22"/>
      <w:lang w:val="ru-RU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15"/>
    <w:pPr>
      <w:spacing w:lineRule="auto" w:line="240" w:before="0" w:after="0"/>
    </w:pPr>
    <w:rPr>
      <w:sz w:val="20"/>
      <w:szCs w:val="20"/>
      <w:lang w:val="en-US"/>
    </w:rPr>
  </w:style>
  <w:style w:type="paragraph" w:styleId="Style19">
    <w:name w:val="Обычный (веб)"/>
    <w:basedOn w:val="15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note">
    <w:name w:val="Footnote Text"/>
    <w:basedOn w:val="15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16">
    <w:name w:val="Абзац списка1"/>
    <w:basedOn w:val="Normal"/>
    <w:qFormat/>
    <w:pPr>
      <w:ind w:left="720" w:hanging="0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</w:pPr>
    <w:rPr>
      <w:rFonts w:ascii="Lucida Sans Unicode" w:hAnsi="Lucida Sans Unicode" w:eastAsia="Lucida Sans Unicode" w:cs="Lucida Sans Unicode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Style110">
    <w:name w:val="Style1"/>
    <w:basedOn w:val="Normal"/>
    <w:qFormat/>
    <w:pPr>
      <w:widowControl w:val="false"/>
      <w:suppressAutoHyphens w:val="true"/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22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cs="Times New Roman"/>
      <w:sz w:val="24"/>
      <w:szCs w:val="24"/>
      <w:lang w:val="en-US"/>
    </w:rPr>
  </w:style>
  <w:style w:type="paragraph" w:styleId="Style41">
    <w:name w:val="Style4"/>
    <w:basedOn w:val="Normal"/>
    <w:qFormat/>
    <w:pPr>
      <w:spacing w:lineRule="exact" w:line="288" w:before="0" w:after="0"/>
      <w:ind w:hanging="125"/>
      <w:jc w:val="both"/>
    </w:pPr>
    <w:rPr>
      <w:sz w:val="24"/>
      <w:szCs w:val="24"/>
      <w:lang w:val="en-US" w:bidi="en-US"/>
    </w:rPr>
  </w:style>
  <w:style w:type="paragraph" w:styleId="Style101">
    <w:name w:val="Style10"/>
    <w:basedOn w:val="Normal"/>
    <w:qFormat/>
    <w:pPr>
      <w:spacing w:lineRule="auto" w:line="240" w:before="0" w:after="0"/>
    </w:pPr>
    <w:rPr>
      <w:sz w:val="24"/>
      <w:szCs w:val="24"/>
      <w:lang w:val="en-US" w:bidi="en-US"/>
    </w:rPr>
  </w:style>
  <w:style w:type="paragraph" w:styleId="Style151">
    <w:name w:val="Style15"/>
    <w:basedOn w:val="Normal"/>
    <w:qFormat/>
    <w:pPr>
      <w:spacing w:lineRule="auto" w:line="240" w:before="0" w:after="0"/>
    </w:pPr>
    <w:rPr>
      <w:sz w:val="24"/>
      <w:szCs w:val="24"/>
      <w:lang w:val="en-US" w:bidi="en-US"/>
    </w:rPr>
  </w:style>
  <w:style w:type="paragraph" w:styleId="Style21">
    <w:name w:val="Style2"/>
    <w:basedOn w:val="Normal"/>
    <w:qFormat/>
    <w:pPr>
      <w:spacing w:lineRule="exact" w:line="288" w:before="0" w:after="0"/>
      <w:ind w:firstLine="686"/>
      <w:jc w:val="both"/>
    </w:pPr>
    <w:rPr>
      <w:sz w:val="24"/>
      <w:szCs w:val="24"/>
      <w:lang w:val="en-US" w:bidi="en-US"/>
    </w:rPr>
  </w:style>
  <w:style w:type="paragraph" w:styleId="Style51">
    <w:name w:val="Style5"/>
    <w:basedOn w:val="Normal"/>
    <w:qFormat/>
    <w:pPr>
      <w:spacing w:lineRule="exact" w:line="288" w:before="0" w:after="0"/>
      <w:ind w:firstLine="696"/>
    </w:pPr>
    <w:rPr>
      <w:sz w:val="24"/>
      <w:szCs w:val="24"/>
      <w:lang w:val="en-US" w:bidi="en-US"/>
    </w:rPr>
  </w:style>
  <w:style w:type="paragraph" w:styleId="Style111">
    <w:name w:val="Style11"/>
    <w:basedOn w:val="Normal"/>
    <w:qFormat/>
    <w:pPr>
      <w:spacing w:lineRule="exact" w:line="326" w:before="0" w:after="0"/>
      <w:ind w:hanging="322"/>
    </w:pPr>
    <w:rPr>
      <w:sz w:val="24"/>
      <w:szCs w:val="24"/>
      <w:lang w:val="en-US" w:bidi="en-US"/>
    </w:rPr>
  </w:style>
  <w:style w:type="paragraph" w:styleId="Style121">
    <w:name w:val="Style12"/>
    <w:basedOn w:val="Normal"/>
    <w:qFormat/>
    <w:pPr>
      <w:spacing w:lineRule="exact" w:line="322" w:before="0" w:after="0"/>
      <w:ind w:hanging="355"/>
    </w:pPr>
    <w:rPr>
      <w:sz w:val="24"/>
      <w:szCs w:val="24"/>
      <w:lang w:val="en-US" w:bidi="en-US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rFonts w:ascii="Times New Roman" w:hAnsi="Times New Roman" w:cs="Times New Roman"/>
      <w:sz w:val="24"/>
      <w:szCs w:val="20"/>
    </w:rPr>
  </w:style>
  <w:style w:type="paragraph" w:styleId="Style30">
    <w:name w:val="Style30"/>
    <w:basedOn w:val="Normal"/>
    <w:qFormat/>
    <w:pPr>
      <w:widowControl w:val="false"/>
      <w:autoSpaceDE w:val="fals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yle33">
    <w:name w:val="Style33"/>
    <w:basedOn w:val="Normal"/>
    <w:qFormat/>
    <w:pPr>
      <w:widowControl w:val="false"/>
      <w:autoSpaceDE w:val="fals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bidi="en-US" w:eastAsia="zh-CN"/>
    </w:rPr>
  </w:style>
  <w:style w:type="paragraph" w:styleId="Style22">
    <w:name w:val="Прижатый влево"/>
    <w:basedOn w:val="Normal"/>
    <w:next w:val="Normal"/>
    <w:qFormat/>
    <w:pPr>
      <w:widowControl w:val="false"/>
      <w:autoSpaceDE w:val="false"/>
      <w:spacing w:lineRule="auto" w:line="240" w:before="0" w:after="0"/>
    </w:pPr>
    <w:rPr>
      <w:rFonts w:ascii="Times New Roman CYR" w:hAnsi="Times New Roman CYR" w:cs="Times New Roman CYR"/>
      <w:sz w:val="24"/>
      <w:szCs w:val="24"/>
    </w:rPr>
  </w:style>
  <w:style w:type="paragraph" w:styleId="61">
    <w:name w:val="Основной текст (6)"/>
    <w:basedOn w:val="Normal"/>
    <w:qFormat/>
    <w:pPr>
      <w:shd w:fill="FFFFFF" w:val="clear"/>
      <w:spacing w:lineRule="atLeast" w:line="0" w:before="360" w:after="60"/>
    </w:pPr>
    <w:rPr>
      <w:sz w:val="23"/>
      <w:szCs w:val="23"/>
      <w:lang w:val="en-US"/>
    </w:rPr>
  </w:style>
  <w:style w:type="paragraph" w:styleId="3">
    <w:name w:val="Абзац списка3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cs="Times New Roman"/>
      <w:sz w:val="24"/>
      <w:szCs w:val="24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91">
    <w:name w:val="Style19"/>
    <w:basedOn w:val="Normal"/>
    <w:qFormat/>
    <w:pPr>
      <w:widowControl w:val="false"/>
      <w:autoSpaceDE w:val="false"/>
      <w:spacing w:lineRule="exact" w:line="322"/>
      <w:jc w:val="both"/>
    </w:pPr>
    <w:rPr>
      <w:rFonts w:ascii="Cambria" w:hAnsi="Cambria" w:cs="Cambria"/>
      <w:sz w:val="24"/>
      <w:szCs w:val="24"/>
    </w:rPr>
  </w:style>
  <w:style w:type="paragraph" w:styleId="Style221">
    <w:name w:val="Style22"/>
    <w:basedOn w:val="Normal"/>
    <w:qFormat/>
    <w:pPr>
      <w:autoSpaceDE w:val="false"/>
      <w:spacing w:lineRule="exact" w:line="418"/>
      <w:jc w:val="both"/>
    </w:pPr>
    <w:rPr>
      <w:rFonts w:ascii="Times New Roman" w:hAnsi="Times New Roman" w:cs="Times New Roman"/>
    </w:rPr>
  </w:style>
  <w:style w:type="paragraph" w:styleId="WWHeading1">
    <w:name w:val="WW-Heading 1"/>
    <w:basedOn w:val="Normal"/>
    <w:qFormat/>
    <w:pPr>
      <w:widowControl w:val="false"/>
      <w:autoSpaceDE w:val="false"/>
      <w:spacing w:lineRule="auto" w:line="240" w:before="0" w:after="0"/>
      <w:ind w:left="918" w:hanging="0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hyperlink" Target="https://umczdt.ru/books/1150/280588/" TargetMode="External"/><Relationship Id="rId7" Type="http://schemas.openxmlformats.org/officeDocument/2006/relationships/hyperlink" Target="https://urait.ru/bcode/491125" TargetMode="External"/><Relationship Id="rId8" Type="http://schemas.openxmlformats.org/officeDocument/2006/relationships/hyperlink" Target="https://umczdt.ru/books/1194/225481/" TargetMode="External"/><Relationship Id="rId9" Type="http://schemas.openxmlformats.org/officeDocument/2006/relationships/footer" Target="foot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2023-05-09T21:39:00Z</dcterms:created>
  <dc:creator>yu.p.telegina</dc:creator>
  <dc:description/>
  <dc:language>en-US</dc:language>
  <cp:lastModifiedBy>егор</cp:lastModifiedBy>
  <cp:lastPrinted>2023-03-09T16:05:00Z</cp:lastPrinted>
  <dcterms:modified xsi:type="dcterms:W3CDTF">2023-05-09T21:40:00Z</dcterms:modified>
  <cp:revision>3</cp:revision>
  <dc:subject/>
  <dc:title/>
</cp:coreProperties>
</file>