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EE" w:rsidRDefault="00D901EE" w:rsidP="00D901EE">
      <w:pPr>
        <w:jc w:val="right"/>
      </w:pPr>
      <w:r w:rsidRPr="00463984">
        <w:t>Приложение 9.3.</w:t>
      </w:r>
      <w:r>
        <w:t>47</w:t>
      </w:r>
    </w:p>
    <w:p w:rsidR="00D901EE" w:rsidRDefault="00D901EE" w:rsidP="00D901EE">
      <w:pPr>
        <w:jc w:val="right"/>
      </w:pPr>
      <w:r w:rsidRPr="00463984">
        <w:t>ОПОП-ППССЗ по специальности</w:t>
      </w:r>
      <w:r>
        <w:t xml:space="preserve"> </w:t>
      </w:r>
    </w:p>
    <w:p w:rsidR="00D901EE" w:rsidRPr="008E68D7" w:rsidRDefault="00D901EE" w:rsidP="00D901EE">
      <w:pPr>
        <w:jc w:val="right"/>
        <w:rPr>
          <w:spacing w:val="-2"/>
        </w:rPr>
      </w:pPr>
      <w:r w:rsidRPr="008E68D7">
        <w:rPr>
          <w:spacing w:val="-2"/>
        </w:rPr>
        <w:t xml:space="preserve">08.02.10 Строительство железных дорог, </w:t>
      </w:r>
    </w:p>
    <w:p w:rsidR="00D901EE" w:rsidRPr="008E68D7" w:rsidRDefault="00D901EE" w:rsidP="00D901EE">
      <w:pPr>
        <w:jc w:val="right"/>
        <w:rPr>
          <w:sz w:val="28"/>
        </w:rPr>
      </w:pPr>
      <w:proofErr w:type="gramStart"/>
      <w:r w:rsidRPr="008E68D7">
        <w:rPr>
          <w:spacing w:val="-2"/>
        </w:rPr>
        <w:t>путь</w:t>
      </w:r>
      <w:proofErr w:type="gramEnd"/>
      <w:r w:rsidRPr="008E68D7">
        <w:rPr>
          <w:spacing w:val="-2"/>
        </w:rPr>
        <w:t xml:space="preserve"> и путевое хозяйство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7121EC" w:rsidRDefault="00B66DB0" w:rsidP="00B66DB0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5F4650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  <w:bookmarkStart w:id="0" w:name="_GoBack"/>
      <w:bookmarkEnd w:id="0"/>
    </w:p>
    <w:p w:rsidR="00C738E1" w:rsidRDefault="00C738E1" w:rsidP="00A04E2F">
      <w:pPr>
        <w:rPr>
          <w:lang w:eastAsia="ru-RU"/>
        </w:rPr>
      </w:pPr>
    </w:p>
    <w:p w:rsidR="00C738E1" w:rsidRDefault="00D901EE" w:rsidP="00D901EE">
      <w:pPr>
        <w:jc w:val="center"/>
        <w:rPr>
          <w:lang w:eastAsia="ru-RU"/>
        </w:rPr>
      </w:pPr>
      <w:r>
        <w:rPr>
          <w:lang w:eastAsia="ru-RU"/>
        </w:rPr>
        <w:t>2023</w:t>
      </w:r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4A28EE" w:rsidRDefault="00B66DB0" w:rsidP="00B66DB0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8"/>
        <w:gridCol w:w="553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применения  машин</w:t>
      </w:r>
      <w:proofErr w:type="gramEnd"/>
      <w:r w:rsidRPr="004320D2">
        <w:rPr>
          <w:sz w:val="28"/>
          <w:szCs w:val="28"/>
          <w:lang w:eastAsia="ru-RU"/>
        </w:rPr>
        <w:t xml:space="preserve">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определять  объемы</w:t>
      </w:r>
      <w:proofErr w:type="gramEnd"/>
      <w:r>
        <w:rPr>
          <w:sz w:val="28"/>
          <w:szCs w:val="28"/>
          <w:lang w:eastAsia="ru-RU"/>
        </w:rPr>
        <w:t xml:space="preserve">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</w:t>
      </w:r>
      <w:proofErr w:type="gramStart"/>
      <w:r w:rsidRPr="004320D2">
        <w:rPr>
          <w:sz w:val="28"/>
          <w:szCs w:val="28"/>
          <w:lang w:eastAsia="ru-RU"/>
        </w:rPr>
        <w:t>соблюдая  правила</w:t>
      </w:r>
      <w:proofErr w:type="gramEnd"/>
      <w:r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lastRenderedPageBreak/>
        <w:t>организацию  и</w:t>
      </w:r>
      <w:proofErr w:type="gramEnd"/>
      <w:r w:rsidRPr="004320D2">
        <w:rPr>
          <w:sz w:val="28"/>
          <w:szCs w:val="28"/>
          <w:lang w:eastAsia="ru-RU"/>
        </w:rPr>
        <w:t xml:space="preserve">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основы</w:t>
      </w:r>
      <w:proofErr w:type="gramEnd"/>
      <w:r w:rsidRPr="004320D2">
        <w:rPr>
          <w:sz w:val="28"/>
          <w:szCs w:val="28"/>
          <w:lang w:eastAsia="ru-RU"/>
        </w:rPr>
        <w:t xml:space="preserve">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29"/>
        <w:gridCol w:w="3863"/>
        <w:gridCol w:w="5119"/>
      </w:tblGrid>
      <w:tr w:rsidR="003A4039" w:rsidRPr="003A4039" w:rsidTr="00252A9C">
        <w:tc>
          <w:tcPr>
            <w:tcW w:w="95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3A4039" w:rsidRPr="003A4039" w:rsidTr="00252A9C">
        <w:tc>
          <w:tcPr>
            <w:tcW w:w="95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3A4039" w:rsidRDefault="003A4039" w:rsidP="003A4039">
            <w:pPr>
              <w:suppressAutoHyphens/>
              <w:ind w:firstLine="709"/>
              <w:jc w:val="both"/>
              <w:rPr>
                <w:sz w:val="28"/>
              </w:rPr>
            </w:pPr>
            <w:r w:rsidRPr="003A4039">
              <w:rPr>
                <w:rFonts w:eastAsia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</w:t>
            </w:r>
            <w:r w:rsidRPr="003A4039">
              <w:rPr>
                <w:sz w:val="28"/>
              </w:rPr>
              <w:t>.</w:t>
            </w:r>
          </w:p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3A4039" w:rsidRDefault="003A4039" w:rsidP="003A4039">
            <w:pPr>
              <w:ind w:firstLine="708"/>
              <w:jc w:val="both"/>
              <w:rPr>
                <w:sz w:val="28"/>
                <w:szCs w:val="28"/>
              </w:rPr>
            </w:pPr>
            <w:r w:rsidRPr="003A4039">
              <w:rPr>
                <w:sz w:val="28"/>
                <w:szCs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7714A" w:rsidRPr="0037714A" w:rsidTr="00252A9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37714A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мыслящий.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17"/>
        <w:gridCol w:w="1986"/>
        <w:gridCol w:w="992"/>
        <w:gridCol w:w="710"/>
        <w:gridCol w:w="1843"/>
        <w:gridCol w:w="881"/>
        <w:gridCol w:w="1230"/>
      </w:tblGrid>
      <w:tr w:rsidR="0037714A" w:rsidRPr="0037714A" w:rsidTr="0037714A">
        <w:tc>
          <w:tcPr>
            <w:tcW w:w="259" w:type="pct"/>
            <w:vMerge w:val="restar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37714A" w:rsidRPr="0037714A" w:rsidTr="005115A7">
        <w:trPr>
          <w:trHeight w:val="1131"/>
        </w:trPr>
        <w:tc>
          <w:tcPr>
            <w:tcW w:w="259" w:type="pct"/>
            <w:vMerge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37714A" w:rsidRPr="0037714A" w:rsidTr="005115A7">
        <w:tc>
          <w:tcPr>
            <w:tcW w:w="259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58188A" w:rsidRPr="0037714A" w:rsidTr="005115A7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8A" w:rsidRPr="0037714A" w:rsidRDefault="0058188A" w:rsidP="0058188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37714A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8188A" w:rsidRPr="0058188A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8188A" w:rsidRPr="0037714A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8188A" w:rsidRPr="0037714A" w:rsidTr="005115A7">
        <w:tc>
          <w:tcPr>
            <w:tcW w:w="259" w:type="pct"/>
            <w:vMerge/>
          </w:tcPr>
          <w:p w:rsidR="0058188A" w:rsidRPr="0037714A" w:rsidRDefault="0058188A" w:rsidP="0058188A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58188A" w:rsidRPr="0037714A" w:rsidRDefault="0058188A" w:rsidP="0058188A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определять  объемы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земляных работ, потребности строительства в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методы поиска и обнаружения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неисправностей железнодорожного пути, причины их возникновения;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соблюдая  правила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</w:tcPr>
          <w:p w:rsidR="0058188A" w:rsidRPr="0037714A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58188A" w:rsidRPr="0037714A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5115A7" w:rsidRPr="0037714A" w:rsidTr="005115A7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5115A7">
        <w:trPr>
          <w:trHeight w:val="926"/>
        </w:trPr>
        <w:tc>
          <w:tcPr>
            <w:tcW w:w="259" w:type="pct"/>
            <w:vMerge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определять  объемы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земляных работ,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соблюдая  правила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5115A7" w:rsidRPr="0037714A" w:rsidTr="00C9717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Контролировать качество текущего содержания пути, ремонтных и строительных 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5115A7">
        <w:trPr>
          <w:trHeight w:val="703"/>
        </w:trPr>
        <w:tc>
          <w:tcPr>
            <w:tcW w:w="259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определять  объемы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механизмы по назначению, 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соблюдая  правила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5115A7" w:rsidRPr="0037714A" w:rsidTr="00B40DFE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B40DFE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определять  объемы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методы поиска и обнаружения неисправностей железнодорожного пути,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соблюдая  правила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5115A7" w:rsidRPr="0037714A" w:rsidTr="00BA3E9C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1F563E" w:rsidRDefault="005115A7" w:rsidP="005115A7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BA3E9C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определять  объемы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</w:t>
            </w:r>
            <w:proofErr w:type="gramStart"/>
            <w:r w:rsidRPr="0058188A">
              <w:rPr>
                <w:rFonts w:eastAsia="Times New Roman"/>
                <w:bCs/>
                <w:szCs w:val="22"/>
                <w:lang w:eastAsia="ru-RU"/>
              </w:rPr>
              <w:t>соблюдая  правила</w:t>
            </w:r>
            <w:proofErr w:type="gramEnd"/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463"/>
        <w:gridCol w:w="675"/>
        <w:gridCol w:w="675"/>
        <w:gridCol w:w="675"/>
        <w:gridCol w:w="641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Ознакомление  с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Выполнение  работ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Выполнение  работ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Участие  в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Участие  в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Участие  в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Установка  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Пользование  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Соблюдение  правил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Оформление документов по практике и ведение дневника. Подготовка </w:t>
            </w: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отчета  по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7"/>
        <w:gridCol w:w="3998"/>
        <w:gridCol w:w="2976"/>
      </w:tblGrid>
      <w:tr w:rsidR="006F339B" w:rsidTr="00252A9C">
        <w:tc>
          <w:tcPr>
            <w:tcW w:w="2937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6F339B" w:rsidRPr="005D582F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4D16C4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2C6D70">
              <w:rPr>
                <w:sz w:val="28"/>
              </w:rPr>
              <w:lastRenderedPageBreak/>
              <w:t>различных жизненных ситуациях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</w:t>
            </w:r>
            <w:proofErr w:type="spellStart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и саморазвития </w:t>
            </w: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эффективной профессиональной и личностной самореализации и развития карьеры;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4D16C4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B73029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D1141B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мероприятиях </w:t>
            </w:r>
            <w:proofErr w:type="spellStart"/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гражданскопатриотического</w:t>
            </w:r>
            <w:proofErr w:type="spellEnd"/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волонтерском движении;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сформированную позицию гражданской идентичности, патриотизма,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C6F33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Default="006F339B" w:rsidP="00252A9C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C6F33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Default="006F339B" w:rsidP="00252A9C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</w:t>
            </w: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публикации, технической документации;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F622FA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A70732" w:rsidRDefault="006F339B" w:rsidP="00252A9C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100459" w:rsidTr="00252A9C">
        <w:tc>
          <w:tcPr>
            <w:tcW w:w="2652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100459" w:rsidRDefault="00A47B2C" w:rsidP="00A47B2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2.3. Контролировать качество текущего содержания пути, </w:t>
            </w:r>
            <w:r w:rsidRPr="00100459">
              <w:rPr>
                <w:sz w:val="28"/>
              </w:rPr>
              <w:lastRenderedPageBreak/>
              <w:t>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Выполнение контроля параметров рельсовой колеи и стрелочных переводов. Использование методов поиска и обнаружения </w:t>
            </w:r>
            <w:r w:rsidRPr="00100459">
              <w:rPr>
                <w:sz w:val="28"/>
              </w:rPr>
              <w:lastRenderedPageBreak/>
              <w:t>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t xml:space="preserve">производственной практики (по профилю </w:t>
            </w:r>
            <w:r w:rsidRPr="00100459">
              <w:rPr>
                <w:sz w:val="28"/>
              </w:rPr>
              <w:lastRenderedPageBreak/>
              <w:t>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92" w:rsidRDefault="00395092" w:rsidP="005D7A99">
      <w:r>
        <w:separator/>
      </w:r>
    </w:p>
  </w:endnote>
  <w:endnote w:type="continuationSeparator" w:id="0">
    <w:p w:rsidR="00395092" w:rsidRDefault="00395092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09556"/>
      <w:docPartObj>
        <w:docPartGallery w:val="Page Numbers (Bottom of Page)"/>
        <w:docPartUnique/>
      </w:docPartObj>
    </w:sdtPr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92" w:rsidRDefault="00395092" w:rsidP="005D7A99">
      <w:r>
        <w:separator/>
      </w:r>
    </w:p>
  </w:footnote>
  <w:footnote w:type="continuationSeparator" w:id="0">
    <w:p w:rsidR="00395092" w:rsidRDefault="00395092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564D"/>
    <w:rsid w:val="00E05865"/>
    <w:rsid w:val="00E107D3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9769-7395-433D-A958-271E60F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21CC-303C-4E6C-8D31-56F567B1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2018-04-02T10:08:00Z</cp:lastPrinted>
  <dcterms:created xsi:type="dcterms:W3CDTF">2022-11-28T15:32:00Z</dcterms:created>
  <dcterms:modified xsi:type="dcterms:W3CDTF">2023-05-16T07:23:00Z</dcterms:modified>
</cp:coreProperties>
</file>