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40" w:rsidRDefault="00834F40" w:rsidP="00834F40">
      <w:pPr>
        <w:jc w:val="right"/>
      </w:pPr>
      <w:r w:rsidRPr="00463984">
        <w:t>Приложение 9.3.</w:t>
      </w:r>
      <w:r>
        <w:t>44</w:t>
      </w:r>
    </w:p>
    <w:p w:rsidR="00834F40" w:rsidRDefault="00834F40" w:rsidP="00834F40">
      <w:pPr>
        <w:jc w:val="right"/>
      </w:pPr>
      <w:r w:rsidRPr="00463984">
        <w:t>ОПОП-ППССЗ по специальности</w:t>
      </w:r>
      <w:r>
        <w:t xml:space="preserve"> </w:t>
      </w:r>
    </w:p>
    <w:p w:rsidR="00834F40" w:rsidRPr="008E68D7" w:rsidRDefault="00834F40" w:rsidP="00834F40">
      <w:pPr>
        <w:jc w:val="right"/>
        <w:rPr>
          <w:spacing w:val="-2"/>
        </w:rPr>
      </w:pPr>
      <w:r w:rsidRPr="008E68D7">
        <w:rPr>
          <w:spacing w:val="-2"/>
        </w:rPr>
        <w:t xml:space="preserve">08.02.10 Строительство железных дорог, </w:t>
      </w:r>
    </w:p>
    <w:p w:rsidR="00834F40" w:rsidRPr="008E68D7" w:rsidRDefault="00834F40" w:rsidP="00834F40">
      <w:pPr>
        <w:jc w:val="right"/>
        <w:rPr>
          <w:sz w:val="28"/>
        </w:rPr>
      </w:pPr>
      <w:r w:rsidRPr="008E68D7">
        <w:rPr>
          <w:spacing w:val="-2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EF4EF7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834F40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4A28EE" w:rsidRDefault="008A5137" w:rsidP="008E4804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2"/>
        <w:gridCol w:w="565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481"/>
        <w:gridCol w:w="2483"/>
        <w:gridCol w:w="964"/>
        <w:gridCol w:w="1378"/>
        <w:gridCol w:w="1381"/>
        <w:gridCol w:w="1240"/>
        <w:gridCol w:w="1102"/>
      </w:tblGrid>
      <w:tr w:rsidR="00C36A6F" w:rsidRPr="00BC31F2" w:rsidTr="00845999">
        <w:tc>
          <w:tcPr>
            <w:tcW w:w="278" w:type="pct"/>
            <w:vMerge w:val="restart"/>
            <w:textDirection w:val="btLr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22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845999">
        <w:trPr>
          <w:trHeight w:val="1131"/>
        </w:trPr>
        <w:tc>
          <w:tcPr>
            <w:tcW w:w="278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97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6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99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8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2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845999">
        <w:tc>
          <w:tcPr>
            <w:tcW w:w="27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97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6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8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20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845999">
        <w:trPr>
          <w:trHeight w:val="63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2C6D70" w:rsidRDefault="001B04A1" w:rsidP="001B04A1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845999" w:rsidRDefault="00845999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45999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1B04A1" w:rsidRPr="00BC31F2" w:rsidTr="00845999"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845999">
        <w:trPr>
          <w:trHeight w:val="84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7F62FE" w:rsidRDefault="001B04A1" w:rsidP="001B04A1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BC31F2" w:rsidRDefault="00845999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845999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845999">
        <w:trPr>
          <w:trHeight w:val="1656"/>
        </w:trPr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84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845999">
        <w:trPr>
          <w:trHeight w:val="71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7F62FE" w:rsidRDefault="001B04A1" w:rsidP="001B04A1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69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845999" w:rsidRDefault="00845999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45999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1B04A1" w:rsidRPr="00BC31F2" w:rsidTr="00845999"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7"/>
        <w:gridCol w:w="4180"/>
        <w:gridCol w:w="3020"/>
      </w:tblGrid>
      <w:tr w:rsidR="00815ADB" w:rsidTr="000A6855">
        <w:tc>
          <w:tcPr>
            <w:tcW w:w="2937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0A6855" w:rsidRP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</w:t>
            </w: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D1141B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Default="006022E4" w:rsidP="006022E4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 xml:space="preserve">в том </w:t>
            </w:r>
            <w:r w:rsidRPr="002C6D70">
              <w:rPr>
                <w:sz w:val="28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-участие в мероприятиях гражданскопатриотического характера, волонтерском движении;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0A6855" w:rsidRDefault="00E70E67" w:rsidP="00E70E67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0C6F33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Default="000A6855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Default="000A6855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815ADB" w:rsidTr="000A6855">
        <w:tc>
          <w:tcPr>
            <w:tcW w:w="2937" w:type="dxa"/>
            <w:vAlign w:val="center"/>
          </w:tcPr>
          <w:p w:rsidR="00815ADB" w:rsidRPr="007F62FE" w:rsidRDefault="00815ADB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</w:t>
            </w:r>
            <w:r w:rsidRPr="002C6D70">
              <w:rPr>
                <w:sz w:val="28"/>
              </w:rPr>
              <w:lastRenderedPageBreak/>
              <w:t>государственном и иностранном языках.</w:t>
            </w:r>
          </w:p>
        </w:tc>
        <w:tc>
          <w:tcPr>
            <w:tcW w:w="4408" w:type="dxa"/>
          </w:tcPr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эффективный поиск необходимой информации в российских и зарубежных </w:t>
            </w: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источниках: нормативно</w:t>
            </w:r>
          </w:p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A70732" w:rsidRDefault="000A6855" w:rsidP="00815ADB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 xml:space="preserve">производственной </w:t>
            </w:r>
            <w:r w:rsidRPr="00424E73">
              <w:rPr>
                <w:sz w:val="28"/>
              </w:rPr>
              <w:lastRenderedPageBreak/>
              <w:t>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CF442B"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287"/>
        <w:gridCol w:w="3092"/>
      </w:tblGrid>
      <w:tr w:rsidR="00CF442B" w:rsidRPr="00424E73" w:rsidTr="007E29D4">
        <w:tc>
          <w:tcPr>
            <w:tcW w:w="2376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Результаты</w:t>
            </w:r>
          </w:p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(освоенные</w:t>
            </w:r>
          </w:p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профессиональные</w:t>
            </w:r>
          </w:p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Основные показатели оценки</w:t>
            </w:r>
          </w:p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 xml:space="preserve">ПК 1.3. Производить разбивку на местности элементов </w:t>
            </w:r>
            <w:r w:rsidRPr="00424E73">
              <w:rPr>
                <w:sz w:val="28"/>
              </w:rPr>
              <w:lastRenderedPageBreak/>
              <w:t>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lastRenderedPageBreak/>
              <w:t xml:space="preserve">Выполнение трассирования по картам, проектирование продольных и поперечных профилей, выбор оптимальных вариантов железнодорожной </w:t>
            </w:r>
            <w:r w:rsidRPr="00424E73">
              <w:rPr>
                <w:sz w:val="28"/>
              </w:rPr>
              <w:lastRenderedPageBreak/>
              <w:t>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 xml:space="preserve">, </w:t>
            </w:r>
            <w:r w:rsidRPr="00424E7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  <w:bookmarkStart w:id="0" w:name="_GoBack"/>
      <w:bookmarkEnd w:id="0"/>
    </w:p>
    <w:sectPr w:rsidR="00B942A7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7B" w:rsidRDefault="00943D7B" w:rsidP="005D7A99">
      <w:r>
        <w:separator/>
      </w:r>
    </w:p>
  </w:endnote>
  <w:endnote w:type="continuationSeparator" w:id="0">
    <w:p w:rsidR="00943D7B" w:rsidRDefault="00943D7B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052529"/>
      <w:docPartObj>
        <w:docPartGallery w:val="Page Numbers (Bottom of Page)"/>
        <w:docPartUnique/>
      </w:docPartObj>
    </w:sdtPr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7B" w:rsidRDefault="00943D7B" w:rsidP="005D7A99">
      <w:r>
        <w:separator/>
      </w:r>
    </w:p>
  </w:footnote>
  <w:footnote w:type="continuationSeparator" w:id="0">
    <w:p w:rsidR="00943D7B" w:rsidRDefault="00943D7B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A0A64"/>
    <w:rsid w:val="00CA41B4"/>
    <w:rsid w:val="00CB358B"/>
    <w:rsid w:val="00CB7089"/>
    <w:rsid w:val="00CC3533"/>
    <w:rsid w:val="00CC6D63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B1E36-2D47-435F-96BF-8BB7647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01F9-2B36-473C-B434-A6E70721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2020-01-25T15:41:00Z</cp:lastPrinted>
  <dcterms:created xsi:type="dcterms:W3CDTF">2022-11-28T15:31:00Z</dcterms:created>
  <dcterms:modified xsi:type="dcterms:W3CDTF">2023-05-16T07:15:00Z</dcterms:modified>
</cp:coreProperties>
</file>